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Distributor Agreement</w:t>
      </w:r>
    </w:p>
    <w:p>
      <w:pPr>
        <w:pStyle w:val="Subtitle"/>
      </w:pPr>
      <w:r>
        <w:t xml:space="preserve">Regenerative Medicine &amp; Longevity Products — Research Use Only</w:t>
      </w:r>
    </w:p>
    <w:p>
      <w:pPr>
        <w:pStyle w:val="Author"/>
      </w:pPr>
      <w:r>
        <w:t xml:space="preserve">Made Scientific, Inc. · Template v0.1 · Strictly Private &amp; Confidential</w:t>
      </w:r>
    </w:p>
    <w:p>
      <w:pPr>
        <w:pStyle w:val="Date"/>
      </w:pPr>
      <w:r>
        <w:t xml:space="preserve">10 July 2026 · Subject to Legal Review</w:t>
      </w:r>
    </w:p>
    <w:p>
      <w:r>
        <w:br w:type="page"/>
      </w:r>
    </w:p>
    <w:bookmarkStart w:id="10" w:name="contents"/>
    <w:p>
      <w:pPr>
        <w:pStyle w:val="Heading1"/>
      </w:pPr>
      <w:r>
        <w:t xml:space="preserve">CONTENTS</w:t>
      </w:r>
    </w:p>
    <w:p>
      <w:pPr>
        <w:pStyle w:val="FirstParagraph"/>
      </w:pPr>
      <w:r>
        <w:t xml:space="preserve">1. DEFINITIONS</w:t>
      </w:r>
      <w:r>
        <w:br/>
      </w:r>
      <w:r>
        <w:t xml:space="preserve">2. APPOINTMENT; EXCLUSIVITY; RESERVATIONS</w:t>
      </w:r>
      <w:r>
        <w:br/>
      </w:r>
      <w:r>
        <w:t xml:space="preserve">3. DISTRIBUTOR EXCLUSIVITY TO MADE</w:t>
      </w:r>
      <w:r>
        <w:br/>
      </w:r>
      <w:r>
        <w:t xml:space="preserve">4. MINIMUM PURCHASE COMMITMENT</w:t>
      </w:r>
      <w:r>
        <w:br/>
      </w:r>
      <w:r>
        <w:t xml:space="preserve">5. DISTRIBUTOR DILIGENCE; FORECASTING; REPORTING</w:t>
      </w:r>
      <w:r>
        <w:br/>
      </w:r>
      <w:r>
        <w:t xml:space="preserve">6. ORDERING; PORTAL; ORDER CUT-OFF AND SHIP CADENCE</w:t>
      </w:r>
      <w:r>
        <w:br/>
      </w:r>
      <w:r>
        <w:t xml:space="preserve">7. PRICES; PRICE CHANGES; ACCOUNT-BY-ACCOUNT PRICING</w:t>
      </w:r>
      <w:r>
        <w:br/>
      </w:r>
      <w:r>
        <w:t xml:space="preserve">8. RESALE PRICING FREEDOM</w:t>
      </w:r>
      <w:r>
        <w:br/>
      </w:r>
      <w:r>
        <w:t xml:space="preserve">9. VOLUME INCENTIVE — FUTURE PRODUCT CREDIT</w:t>
      </w:r>
      <w:r>
        <w:br/>
      </w:r>
      <w:r>
        <w:t xml:space="preserve">10. INVOICING; PAYMENT; CREDIT</w:t>
      </w:r>
      <w:r>
        <w:br/>
      </w:r>
      <w:r>
        <w:t xml:space="preserve">11. TAXES</w:t>
      </w:r>
      <w:r>
        <w:br/>
      </w:r>
      <w:r>
        <w:t xml:space="preserve">12. DELIVERY; TITLE; RISK OF LOSS</w:t>
      </w:r>
      <w:r>
        <w:br/>
      </w:r>
      <w:r>
        <w:t xml:space="preserve">13. DROP-SHIP SERVICE</w:t>
      </w:r>
      <w:r>
        <w:br/>
      </w:r>
      <w:r>
        <w:t xml:space="preserve">14. PACKAGING; DANGEROUS GOODS</w:t>
      </w:r>
      <w:r>
        <w:br/>
      </w:r>
      <w:r>
        <w:t xml:space="preserve">15. INSPECTION; REJECTION; RETURNS</w:t>
      </w:r>
      <w:r>
        <w:br/>
      </w:r>
      <w:r>
        <w:t xml:space="preserve">16. ALLOCATION AND SHORTAGE</w:t>
      </w:r>
      <w:r>
        <w:br/>
      </w:r>
      <w:r>
        <w:t xml:space="preserve">17. RESEARCH USE ONLY STATUS; LABELING; NO CLINICAL USE</w:t>
      </w:r>
      <w:r>
        <w:br/>
      </w:r>
      <w:r>
        <w:t xml:space="preserve">18. QUALITY; SPECIFICATIONS; CERTIFICATES</w:t>
      </w:r>
      <w:r>
        <w:br/>
      </w:r>
      <w:r>
        <w:t xml:space="preserve">19. STORAGE AND COLD CHAIN</w:t>
      </w:r>
      <w:r>
        <w:br/>
      </w:r>
      <w:r>
        <w:t xml:space="preserve">20. COMPLAINTS AND ADVERSE EVENTS</w:t>
      </w:r>
      <w:r>
        <w:br/>
      </w:r>
      <w:r>
        <w:t xml:space="preserve">21. RECALL AND FIELD ACTION</w:t>
      </w:r>
      <w:r>
        <w:br/>
      </w:r>
      <w:r>
        <w:t xml:space="preserve">22. TRACEABILITY AND RECORDS</w:t>
      </w:r>
      <w:r>
        <w:br/>
      </w:r>
      <w:r>
        <w:t xml:space="preserve">23. REGULATORY RESPONSIBILITY</w:t>
      </w:r>
      <w:r>
        <w:br/>
      </w:r>
      <w:r>
        <w:t xml:space="preserve">24. AUDIT RIGHTS</w:t>
      </w:r>
      <w:r>
        <w:br/>
      </w:r>
      <w:r>
        <w:t xml:space="preserve">25. SAMPLING</w:t>
      </w:r>
      <w:r>
        <w:br/>
      </w:r>
      <w:r>
        <w:t xml:space="preserve">26. TRADEMARKS; CUSTOM LABELING; WHITE LABEL</w:t>
      </w:r>
      <w:r>
        <w:br/>
      </w:r>
      <w:r>
        <w:t xml:space="preserve">27. CUSTOM PRODUCTS AND CONFIGURATIONS</w:t>
      </w:r>
      <w:r>
        <w:br/>
      </w:r>
      <w:r>
        <w:t xml:space="preserve">28. ACCOUNTS AND CONTACTS DATABASE</w:t>
      </w:r>
      <w:r>
        <w:br/>
      </w:r>
      <w:r>
        <w:t xml:space="preserve">29. CONFIDENTIALITY</w:t>
      </w:r>
      <w:r>
        <w:br/>
      </w:r>
      <w:r>
        <w:t xml:space="preserve">30. INTELLECTUAL PROPERTY</w:t>
      </w:r>
      <w:r>
        <w:br/>
      </w:r>
      <w:r>
        <w:t xml:space="preserve">31. REPRESENTATIONS AND WARRANTIES</w:t>
      </w:r>
      <w:r>
        <w:br/>
      </w:r>
      <w:r>
        <w:t xml:space="preserve">32. PRODUCT WARRANTY; DISCLAIMER</w:t>
      </w:r>
      <w:r>
        <w:br/>
      </w:r>
      <w:r>
        <w:t xml:space="preserve">33. LIMITATION OF LIABILITY</w:t>
      </w:r>
      <w:r>
        <w:br/>
      </w:r>
      <w:r>
        <w:t xml:space="preserve">34. INDEMNIFICATION</w:t>
      </w:r>
      <w:r>
        <w:br/>
      </w:r>
      <w:r>
        <w:t xml:space="preserve">35. INSURANCE</w:t>
      </w:r>
      <w:r>
        <w:br/>
      </w:r>
      <w:r>
        <w:t xml:space="preserve">36. COMPLIANCE WITH LAW; ANTI-CORRUPTION; SANCTIONS</w:t>
      </w:r>
      <w:r>
        <w:br/>
      </w:r>
      <w:r>
        <w:t xml:space="preserve">37. TERM</w:t>
      </w:r>
      <w:r>
        <w:br/>
      </w:r>
      <w:r>
        <w:t xml:space="preserve">38. TERMINATION</w:t>
      </w:r>
      <w:r>
        <w:br/>
      </w:r>
      <w:r>
        <w:t xml:space="preserve">39. EFFECTS OF TERMINATION</w:t>
      </w:r>
      <w:r>
        <w:br/>
      </w:r>
      <w:r>
        <w:t xml:space="preserve">40. FORCE MAJEURE</w:t>
      </w:r>
      <w:r>
        <w:br/>
      </w:r>
      <w:r>
        <w:t xml:space="preserve">41. NOTICES</w:t>
      </w:r>
      <w:r>
        <w:br/>
      </w:r>
      <w:r>
        <w:t xml:space="preserve">42. GOVERNING LAW; DISPUTE RESOLUTION</w:t>
      </w:r>
      <w:r>
        <w:br/>
      </w:r>
      <w:r>
        <w:t xml:space="preserve">43. ASSIGNMENT</w:t>
      </w:r>
      <w:r>
        <w:br/>
      </w:r>
      <w:r>
        <w:t xml:space="preserve">44. GENERAL</w:t>
      </w:r>
      <w:r>
        <w:br/>
      </w:r>
      <w:r>
        <w:t xml:space="preserve">SCHEDULE A — PRODUCTS AND SPECIFICATIONS</w:t>
      </w:r>
      <w:r>
        <w:br/>
      </w:r>
      <w:r>
        <w:t xml:space="preserve">SCHEDULE B — TERRITORY, EXCLUSIVITY AND NOTICES</w:t>
      </w:r>
      <w:r>
        <w:br/>
      </w:r>
      <w:r>
        <w:t xml:space="preserve">SCHEDULE C — PRICES AND PAYMENT TERMS</w:t>
      </w:r>
      <w:r>
        <w:br/>
      </w:r>
      <w:r>
        <w:t xml:space="preserve">SCHEDULE D — MINIMUM PURCHASE COMMITMENT AND VOLUME INCENTIVE</w:t>
      </w:r>
      <w:r>
        <w:br/>
      </w:r>
      <w:r>
        <w:t xml:space="preserve">SCHEDULE E — ORDERING, SHIPPING AND DROP-SHIP SERVICE</w:t>
      </w:r>
      <w:r>
        <w:br/>
      </w:r>
      <w:r>
        <w:t xml:space="preserve">SCHEDULE F — QUALITY, LABELING AND REGULATORY RESPONSIBILITY MATRIX</w:t>
      </w:r>
      <w:r>
        <w:br/>
      </w:r>
      <w:r>
        <w:t xml:space="preserve">SCHEDULE G — SAMPLING POLICY</w:t>
      </w:r>
      <w:r>
        <w:br/>
      </w:r>
      <w:r>
        <w:t xml:space="preserve">SCHEDULE H — TRADEMARK LICENCE, CUSTOM LABELING AND WHITE LABEL</w:t>
      </w:r>
      <w:r>
        <w:br/>
      </w:r>
      <w:r>
        <w:t xml:space="preserve">SCHEDULE I — ACCOUNTS AND CONTACTS DATABASE LICENCE; DATA PROTECTION</w:t>
      </w:r>
      <w:r>
        <w:br/>
      </w:r>
      <w:r>
        <w:t xml:space="preserve">EXHIBIT 1 — COUNTRY RISK / DEALER-PROTECTION SCHEDULE</w:t>
      </w:r>
      <w:r>
        <w:br/>
      </w:r>
      <w:r>
        <w:t xml:space="preserve">EXHIBIT 2 — ANNUAL DISTRIBUTOR COMPLIANCE CERTIFICATE</w:t>
      </w:r>
      <w:r>
        <w:br/>
      </w:r>
      <w:r>
        <w:t xml:space="preserve">EXHIBIT 3 — END-USER CERTIFICATE</w:t>
      </w:r>
    </w:p>
    <w:p>
      <w:r>
        <w:br w:type="page"/>
      </w:r>
    </w:p>
    <w:p>
      <w:pPr>
        <w:pStyle w:val="BodyText"/>
      </w:pPr>
      <w:r>
        <w:t xml:space="preserve">This Distributor Agreement (this</w:t>
      </w:r>
      <w:r>
        <w:t xml:space="preserve"> </w:t>
      </w:r>
      <w:r>
        <w:t xml:space="preserve">“</w:t>
      </w:r>
      <w:r>
        <w:rPr>
          <w:b/>
          <w:bCs/>
        </w:rPr>
        <w:t xml:space="preserve">Agreement</w:t>
      </w:r>
      <w:r>
        <w:t xml:space="preserve">”</w:t>
      </w:r>
      <w:r>
        <w:t xml:space="preserve">) is entered into as of</w:t>
      </w:r>
      <w:r>
        <w:t xml:space="preserve"> </w:t>
      </w:r>
      <w:r>
        <w:rPr>
          <w:rStyle w:val="VerbatimChar"/>
        </w:rPr>
        <w:t xml:space="preserve">[EFFECTIVE_DATE]</w:t>
      </w:r>
      <w:r>
        <w:t xml:space="preserve"> </w:t>
      </w:r>
      <w:r>
        <w:t xml:space="preserve">(the</w:t>
      </w:r>
      <w:r>
        <w:t xml:space="preserve"> </w:t>
      </w:r>
      <w:r>
        <w:t xml:space="preserve">“</w:t>
      </w:r>
      <w:r>
        <w:rPr>
          <w:b/>
          <w:bCs/>
        </w:rPr>
        <w:t xml:space="preserve">Effective Date</w:t>
      </w:r>
      <w:r>
        <w:t xml:space="preserve">”</w:t>
      </w:r>
      <w:r>
        <w:t xml:space="preserve">) by and between:</w:t>
      </w:r>
    </w:p>
    <w:p>
      <w:pPr>
        <w:pStyle w:val="BodyText"/>
      </w:pPr>
      <w:r>
        <w:rPr>
          <w:b/>
          <w:bCs/>
        </w:rPr>
        <w:t xml:space="preserve">Made Scientific, Inc.</w:t>
      </w:r>
      <w:r>
        <w:t xml:space="preserve">, a</w:t>
      </w:r>
      <w:r>
        <w:t xml:space="preserve"> </w:t>
      </w:r>
      <w:r>
        <w:rPr>
          <w:rStyle w:val="VerbatimChar"/>
        </w:rPr>
        <w:t xml:space="preserve">[Delaware]</w:t>
      </w:r>
      <w:r>
        <w:t xml:space="preserve"> </w:t>
      </w:r>
      <w:r>
        <w:t xml:space="preserve">corporation with its principal place of business at 201 College Road East, Princeton, New Jersey 08540, United States (US FDA Establishment FEI 3039488058) (</w:t>
      </w:r>
      <w:r>
        <w:t xml:space="preserve">“</w:t>
      </w:r>
      <w:r>
        <w:rPr>
          <w:b/>
          <w:bCs/>
        </w:rPr>
        <w:t xml:space="preserve">MADE</w:t>
      </w:r>
      <w:r>
        <w:t xml:space="preserve">”</w:t>
      </w:r>
      <w:r>
        <w:t xml:space="preserve">); and</w:t>
      </w:r>
    </w:p>
    <w:p>
      <w:pPr>
        <w:pStyle w:val="BodyText"/>
      </w:pPr>
      <w:r>
        <w:rPr>
          <w:rStyle w:val="VerbatimChar"/>
        </w:rPr>
        <w:t xml:space="preserve">[DISTRIBUTOR_LEGAL_NAME]</w:t>
      </w:r>
      <w:r>
        <w:t xml:space="preserve">, a</w:t>
      </w:r>
      <w:r>
        <w:t xml:space="preserve"> </w:t>
      </w:r>
      <w:r>
        <w:rPr>
          <w:rStyle w:val="VerbatimChar"/>
        </w:rPr>
        <w:t xml:space="preserve">[JURISDICTION]</w:t>
      </w:r>
      <w:r>
        <w:t xml:space="preserve"> </w:t>
      </w:r>
      <w:r>
        <w:rPr>
          <w:rStyle w:val="VerbatimChar"/>
        </w:rPr>
        <w:t xml:space="preserve">[ENTITY_TYPE]</w:t>
      </w:r>
      <w:r>
        <w:t xml:space="preserve"> </w:t>
      </w:r>
      <w:r>
        <w:t xml:space="preserve">with its principal place of business at</w:t>
      </w:r>
      <w:r>
        <w:t xml:space="preserve"> </w:t>
      </w:r>
      <w:r>
        <w:rPr>
          <w:rStyle w:val="VerbatimChar"/>
        </w:rPr>
        <w:t xml:space="preserve">[DISTRIBUTOR_ADDRESS]</w:t>
      </w:r>
      <w:r>
        <w:t xml:space="preserve"> </w:t>
      </w:r>
      <w:r>
        <w:t xml:space="preserve">(</w:t>
      </w:r>
      <w:r>
        <w:t xml:space="preserve">“</w:t>
      </w:r>
      <w:r>
        <w:rPr>
          <w:b/>
          <w:bCs/>
        </w:rPr>
        <w:t xml:space="preserve">Distributor</w:t>
      </w:r>
      <w:r>
        <w:t xml:space="preserve">”</w:t>
      </w:r>
      <w:r>
        <w:t xml:space="preserve">).</w:t>
      </w:r>
    </w:p>
    <w:p>
      <w:pPr>
        <w:pStyle w:val="BodyText"/>
      </w:pPr>
      <w:r>
        <w:t xml:space="preserve">MADE and Distributor are each a</w:t>
      </w:r>
      <w:r>
        <w:t xml:space="preserve"> </w:t>
      </w:r>
      <w:r>
        <w:t xml:space="preserve">“</w:t>
      </w:r>
      <w:r>
        <w:rPr>
          <w:b/>
          <w:bCs/>
        </w:rPr>
        <w:t xml:space="preserve">Party</w:t>
      </w:r>
      <w:r>
        <w:t xml:space="preserve">”</w:t>
      </w:r>
      <w:r>
        <w:t xml:space="preserve"> </w:t>
      </w:r>
      <w:r>
        <w:t xml:space="preserve">and together the</w:t>
      </w:r>
      <w:r>
        <w:t xml:space="preserve"> </w:t>
      </w:r>
      <w:r>
        <w:t xml:space="preserve">“</w:t>
      </w:r>
      <w:r>
        <w:rPr>
          <w:b/>
          <w:bCs/>
        </w:rPr>
        <w:t xml:space="preserve">Parties</w:t>
      </w:r>
      <w:r>
        <w:t xml:space="preserve">”</w:t>
      </w:r>
      <w:r>
        <w:t xml:space="preserve">.</w:t>
      </w:r>
    </w:p>
    <w:p>
      <w:r>
        <w:pict>
          <v:rect style="width:0;height:1.5pt" o:hralign="center" o:hrstd="t" o:hr="t"/>
        </w:pict>
      </w:r>
    </w:p>
    <w:bookmarkStart w:id="9" w:name="recitals"/>
    <w:p>
      <w:pPr>
        <w:pStyle w:val="Heading2"/>
      </w:pPr>
      <w:r>
        <w:t xml:space="preserve">RECITALS</w:t>
      </w:r>
    </w:p>
    <w:p>
      <w:pPr>
        <w:numPr>
          <w:ilvl w:val="0"/>
          <w:numId w:val="1001"/>
        </w:numPr>
      </w:pPr>
      <w:r>
        <w:t xml:space="preserve">MADE is a US-based, FDA-registered contract development and manufacturing organization that manufactures human cell-derived research materials, including Wharton’s Jelly umbilical-cord-derived mesenchymal stem cells and materials derived from them, at its GMP facilities in Princeton and Newark, New Jersey, under a quality management system aligned to 21 CFR Parts 210 and 211, 21 CFR Part 1271, and ICH Q7, Q9 and Q10.</w:t>
      </w:r>
    </w:p>
    <w:p>
      <w:pPr>
        <w:numPr>
          <w:ilvl w:val="0"/>
          <w:numId w:val="1001"/>
        </w:numPr>
      </w:pPr>
      <w:r>
        <w:t xml:space="preserve">The Products supplied under this Agreement are supplied</w:t>
      </w:r>
      <w:r>
        <w:t xml:space="preserve"> </w:t>
      </w:r>
      <w:r>
        <w:rPr>
          <w:b/>
          <w:bCs/>
        </w:rPr>
        <w:t xml:space="preserve">exclusively as Research Use Only materials</w:t>
      </w:r>
      <w:r>
        <w:t xml:space="preserve">. They are</w:t>
      </w:r>
      <w:r>
        <w:t xml:space="preserve"> </w:t>
      </w:r>
      <w:r>
        <w:rPr>
          <w:b/>
          <w:bCs/>
        </w:rPr>
        <w:t xml:space="preserve">not</w:t>
      </w:r>
      <w:r>
        <w:t xml:space="preserve"> </w:t>
      </w:r>
      <w:r>
        <w:t xml:space="preserve">approved, cleared, or licensed by the US Food and Drug Administration or any other regulatory authority; they are</w:t>
      </w:r>
      <w:r>
        <w:t xml:space="preserve"> </w:t>
      </w:r>
      <w:r>
        <w:rPr>
          <w:b/>
          <w:bCs/>
        </w:rPr>
        <w:t xml:space="preserve">not</w:t>
      </w:r>
      <w:r>
        <w:t xml:space="preserve"> </w:t>
      </w:r>
      <w:r>
        <w:t xml:space="preserve">drugs, biologics, medical devices, in-vitro diagnostics, cosmetics, or dietary supplements offered for any human or animal use; and they</w:t>
      </w:r>
      <w:r>
        <w:t xml:space="preserve"> </w:t>
      </w:r>
      <w:r>
        <w:rPr>
          <w:b/>
          <w:bCs/>
        </w:rPr>
        <w:t xml:space="preserve">may not lawfully be administered to any human or animal</w:t>
      </w:r>
      <w:r>
        <w:t xml:space="preserve">.</w:t>
      </w:r>
    </w:p>
    <w:p>
      <w:pPr>
        <w:numPr>
          <w:ilvl w:val="0"/>
          <w:numId w:val="1001"/>
        </w:numPr>
      </w:pPr>
      <w:r>
        <w:t xml:space="preserve">Distributor wishes to be appointed, and MADE is willing to appoint Distributor, to market and resell the Products in the Territory solely for the Permitted Use, on the terms of this Agreement.</w:t>
      </w:r>
    </w:p>
    <w:p>
      <w:pPr>
        <w:numPr>
          <w:ilvl w:val="0"/>
          <w:numId w:val="1001"/>
        </w:numPr>
      </w:pPr>
      <w:r>
        <w:t xml:space="preserve">Distributor acknowledges that MADE’s ability to supply the Products depends on the Products remaining, in fact and in the totality of circumstances, research-use-only materials, and that Distributor’s compliance with</w:t>
      </w:r>
      <w:r>
        <w:t xml:space="preserve"> </w:t>
      </w:r>
      <w:r>
        <w:rPr>
          <w:b/>
          <w:bCs/>
        </w:rPr>
        <w:t xml:space="preserve">Section 17 (Research Use Only Status; Labeling; No Clinical Use)</w:t>
      </w:r>
      <w:r>
        <w:t xml:space="preserve"> </w:t>
      </w:r>
      <w:r>
        <w:t xml:space="preserve">is a fundamental condition of this Agreement and of MADE’s willingness to supply.</w:t>
      </w:r>
    </w:p>
    <w:p>
      <w:pPr>
        <w:pStyle w:val="FirstParagraph"/>
      </w:pPr>
      <w:r>
        <w:t xml:space="preserve">NOW THEREFORE, in consideration of the mutual covenants below, the Parties agree as follows.</w:t>
      </w:r>
    </w:p>
    <w:p>
      <w:r>
        <w:pict>
          <v:rect style="width:0;height:1.5pt" o:hralign="center" o:hrstd="t" o:hr="t"/>
        </w:pict>
      </w:r>
    </w:p>
    <w:bookmarkEnd w:id="9"/>
    <w:bookmarkEnd w:id="10"/>
    <w:bookmarkStart w:id="11" w:name="definitions"/>
    <w:p>
      <w:pPr>
        <w:pStyle w:val="Heading1"/>
      </w:pPr>
      <w:r>
        <w:t xml:space="preserve">1. DEFINITIONS</w:t>
      </w:r>
    </w:p>
    <w:p>
      <w:pPr>
        <w:pStyle w:val="FirstParagraph"/>
      </w:pPr>
      <w:r>
        <w:rPr>
          <w:b/>
          <w:bCs/>
        </w:rPr>
        <w:t xml:space="preserve">1.1</w:t>
      </w:r>
      <w:r>
        <w:t xml:space="preserve"> </w:t>
      </w:r>
      <w:r>
        <w:t xml:space="preserve">In this Agreement, the following terms have the meanings given:</w:t>
      </w:r>
    </w:p>
    <w:p>
      <w:pPr>
        <w:pStyle w:val="BodyText"/>
      </w:pPr>
      <w:r>
        <w:rPr>
          <w:b/>
          <w:bCs/>
        </w:rPr>
        <w:t xml:space="preserve">“Adverse Event”</w:t>
      </w:r>
      <w:r>
        <w:t xml:space="preserve"> </w:t>
      </w:r>
      <w:r>
        <w:t xml:space="preserve">means any untoward medical occurrence, injury, or reaction in a human or animal that is temporally associated with the use of a Product, whether or not considered related to the Product.</w:t>
      </w:r>
    </w:p>
    <w:p>
      <w:pPr>
        <w:pStyle w:val="BodyText"/>
      </w:pPr>
      <w:r>
        <w:rPr>
          <w:b/>
          <w:bCs/>
        </w:rPr>
        <w:t xml:space="preserve">“Affiliate”</w:t>
      </w:r>
      <w:r>
        <w:t xml:space="preserve"> </w:t>
      </w:r>
      <w:r>
        <w:t xml:space="preserve">means, with respect to a Party, any entity that directly or indirectly controls, is controlled by, or is under common control with that Party, where</w:t>
      </w:r>
      <w:r>
        <w:t xml:space="preserve"> </w:t>
      </w:r>
      <w:r>
        <w:t xml:space="preserve">“control”</w:t>
      </w:r>
      <w:r>
        <w:t xml:space="preserve"> </w:t>
      </w:r>
      <w:r>
        <w:t xml:space="preserve">means ownership of more than fifty percent (50%) of the voting securities or the power to direct management.</w:t>
      </w:r>
    </w:p>
    <w:p>
      <w:pPr>
        <w:pStyle w:val="BodyText"/>
      </w:pPr>
      <w:r>
        <w:rPr>
          <w:b/>
          <w:bCs/>
        </w:rPr>
        <w:t xml:space="preserve">“Applicable Law”</w:t>
      </w:r>
      <w:r>
        <w:t xml:space="preserve"> </w:t>
      </w:r>
      <w:r>
        <w:t xml:space="preserve">means all laws, statutes, regulations, rules, orders, and binding guidance of any Governmental Authority applicable to a Party’s performance, including the US Federal Food, Drug, and Cosmetic Act (21 U.S.C. § 301</w:t>
      </w:r>
      <w:r>
        <w:t xml:space="preserve"> </w:t>
      </w:r>
      <w:r>
        <w:rPr>
          <w:i/>
          <w:iCs/>
        </w:rPr>
        <w:t xml:space="preserve">et seq.</w:t>
      </w:r>
      <w:r>
        <w:t xml:space="preserve">), the US Public Health Service Act (42 U.S.C. § 201</w:t>
      </w:r>
      <w:r>
        <w:t xml:space="preserve"> </w:t>
      </w:r>
      <w:r>
        <w:rPr>
          <w:i/>
          <w:iCs/>
        </w:rPr>
        <w:t xml:space="preserve">et seq.</w:t>
      </w:r>
      <w:r>
        <w:t xml:space="preserve">), Anti-Corruption Laws, Trade Control Laws, and Data Protection Laws.</w:t>
      </w:r>
    </w:p>
    <w:p>
      <w:pPr>
        <w:pStyle w:val="BodyText"/>
      </w:pPr>
      <w:r>
        <w:rPr>
          <w:b/>
          <w:bCs/>
        </w:rPr>
        <w:t xml:space="preserve">“Certificate of Analysis”</w:t>
      </w:r>
      <w:r>
        <w:t xml:space="preserve"> </w:t>
      </w:r>
      <w:r>
        <w:t xml:space="preserve">or</w:t>
      </w:r>
      <w:r>
        <w:t xml:space="preserve"> </w:t>
      </w:r>
      <w:r>
        <w:rPr>
          <w:b/>
          <w:bCs/>
        </w:rPr>
        <w:t xml:space="preserve">“CoA”</w:t>
      </w:r>
      <w:r>
        <w:t xml:space="preserve"> </w:t>
      </w:r>
      <w:r>
        <w:t xml:space="preserve">means the document issued by MADE’s Quality Unit for a Lot, recording the results of release testing against the Specifications.</w:t>
      </w:r>
    </w:p>
    <w:p>
      <w:pPr>
        <w:pStyle w:val="BodyText"/>
      </w:pPr>
      <w:r>
        <w:rPr>
          <w:b/>
          <w:bCs/>
        </w:rPr>
        <w:t xml:space="preserve">“Committed Order”</w:t>
      </w:r>
      <w:r>
        <w:t xml:space="preserve"> </w:t>
      </w:r>
      <w:r>
        <w:t xml:space="preserve">means a Purchase Order accepted by MADE that is non-cancellable and non-reschedulable in accordance with Section 6.</w:t>
      </w:r>
    </w:p>
    <w:p>
      <w:pPr>
        <w:pStyle w:val="BodyText"/>
      </w:pPr>
      <w:r>
        <w:rPr>
          <w:b/>
          <w:bCs/>
        </w:rPr>
        <w:t xml:space="preserve">“Confidential Information”</w:t>
      </w:r>
      <w:r>
        <w:t xml:space="preserve"> </w:t>
      </w:r>
      <w:r>
        <w:t xml:space="preserve">has the meaning given in Section 29.</w:t>
      </w:r>
    </w:p>
    <w:p>
      <w:pPr>
        <w:pStyle w:val="BodyText"/>
      </w:pPr>
      <w:r>
        <w:rPr>
          <w:b/>
          <w:bCs/>
        </w:rPr>
        <w:t xml:space="preserve">“Database”</w:t>
      </w:r>
      <w:r>
        <w:t xml:space="preserve"> </w:t>
      </w:r>
      <w:r>
        <w:t xml:space="preserve">means MADE’s proprietary compilation of global accounts, institutions, and contacts made available to Distributor under Section 28 and Schedule I, including all data, structure, selection, and arrangement therein.</w:t>
      </w:r>
    </w:p>
    <w:p>
      <w:pPr>
        <w:pStyle w:val="BodyText"/>
      </w:pPr>
      <w:r>
        <w:rPr>
          <w:b/>
          <w:bCs/>
        </w:rPr>
        <w:t xml:space="preserve">“Distributor Marks”</w:t>
      </w:r>
      <w:r>
        <w:t xml:space="preserve"> </w:t>
      </w:r>
      <w:r>
        <w:t xml:space="preserve">means the trademarks, trade names, and logos of Distributor licensed to MADE under Schedule H for Custom Labeling or White Label Products.</w:t>
      </w:r>
    </w:p>
    <w:p>
      <w:pPr>
        <w:pStyle w:val="BodyText"/>
      </w:pPr>
      <w:r>
        <w:rPr>
          <w:b/>
          <w:bCs/>
        </w:rPr>
        <w:t xml:space="preserve">“Drop-Ship Service”</w:t>
      </w:r>
      <w:r>
        <w:t xml:space="preserve"> </w:t>
      </w:r>
      <w:r>
        <w:t xml:space="preserve">means the optional service described in Section 13 under which MADE ships Product directly to Distributor’s customer.</w:t>
      </w:r>
    </w:p>
    <w:p>
      <w:pPr>
        <w:pStyle w:val="BodyText"/>
      </w:pPr>
      <w:r>
        <w:rPr>
          <w:b/>
          <w:bCs/>
        </w:rPr>
        <w:t xml:space="preserve">“Field”</w:t>
      </w:r>
      <w:r>
        <w:t xml:space="preserve"> </w:t>
      </w:r>
      <w:r>
        <w:t xml:space="preserve">means non-clinical laboratory research, preclinical research and development, and process and analytical development, and expressly excludes any Prohibited Clinical Use.</w:t>
      </w:r>
    </w:p>
    <w:p>
      <w:pPr>
        <w:pStyle w:val="BodyText"/>
      </w:pPr>
      <w:r>
        <w:rPr>
          <w:b/>
          <w:bCs/>
        </w:rPr>
        <w:t xml:space="preserve">“Governmental Authority”</w:t>
      </w:r>
      <w:r>
        <w:t xml:space="preserve"> </w:t>
      </w:r>
      <w:r>
        <w:t xml:space="preserve">means any supranational, national, federal, state, provincial, or local government, agency, court, or regulatory body, including the FDA.</w:t>
      </w:r>
    </w:p>
    <w:p>
      <w:pPr>
        <w:pStyle w:val="BodyText"/>
      </w:pPr>
      <w:r>
        <w:rPr>
          <w:b/>
          <w:bCs/>
        </w:rPr>
        <w:t xml:space="preserve">“Lot”</w:t>
      </w:r>
      <w:r>
        <w:t xml:space="preserve"> </w:t>
      </w:r>
      <w:r>
        <w:t xml:space="preserve">means a defined quantity of Product manufactured in a single production run and bearing a unique lot or batch number.</w:t>
      </w:r>
    </w:p>
    <w:p>
      <w:pPr>
        <w:pStyle w:val="BodyText"/>
      </w:pPr>
      <w:r>
        <w:rPr>
          <w:b/>
          <w:bCs/>
        </w:rPr>
        <w:t xml:space="preserve">“MADE Marks”</w:t>
      </w:r>
      <w:r>
        <w:t xml:space="preserve"> </w:t>
      </w:r>
      <w:r>
        <w:t xml:space="preserve">means the trademarks, trade names, logos, and product names of MADE, including</w:t>
      </w:r>
      <w:r>
        <w:t xml:space="preserve"> </w:t>
      </w:r>
      <w:r>
        <w:t xml:space="preserve">“MADE SCIENTIFIC”</w:t>
      </w:r>
      <w:r>
        <w:t xml:space="preserve"> </w:t>
      </w:r>
      <w:r>
        <w:t xml:space="preserve">and the MADE flask logomark.</w:t>
      </w:r>
    </w:p>
    <w:p>
      <w:pPr>
        <w:pStyle w:val="BodyText"/>
      </w:pPr>
      <w:r>
        <w:rPr>
          <w:b/>
          <w:bCs/>
        </w:rPr>
        <w:t xml:space="preserve">“Minimum Purchase Commitment”</w:t>
      </w:r>
      <w:r>
        <w:t xml:space="preserve"> </w:t>
      </w:r>
      <w:r>
        <w:t xml:space="preserve">means, for each Measurement Period, the minimum quantity or value of Products set out in Schedule D.</w:t>
      </w:r>
    </w:p>
    <w:p>
      <w:pPr>
        <w:pStyle w:val="BodyText"/>
      </w:pPr>
      <w:r>
        <w:rPr>
          <w:b/>
          <w:bCs/>
        </w:rPr>
        <w:t xml:space="preserve">“Permitted Use”</w:t>
      </w:r>
      <w:r>
        <w:t xml:space="preserve"> </w:t>
      </w:r>
      <w:r>
        <w:t xml:space="preserve">means use of the Products solely within the Field, by or under the supervision of technically qualified personnel, in a laboratory or non-clinical research setting.</w:t>
      </w:r>
    </w:p>
    <w:p>
      <w:pPr>
        <w:pStyle w:val="BodyText"/>
      </w:pPr>
      <w:r>
        <w:rPr>
          <w:b/>
          <w:bCs/>
        </w:rPr>
        <w:t xml:space="preserve">“Portal”</w:t>
      </w:r>
      <w:r>
        <w:t xml:space="preserve"> </w:t>
      </w:r>
      <w:r>
        <w:t xml:space="preserve">means MADE’s Product Ordering Portal, or such other ordering system as MADE designates in writing.</w:t>
      </w:r>
    </w:p>
    <w:p>
      <w:pPr>
        <w:pStyle w:val="BodyText"/>
      </w:pPr>
      <w:r>
        <w:rPr>
          <w:b/>
          <w:bCs/>
        </w:rPr>
        <w:t xml:space="preserve">“Product Credit”</w:t>
      </w:r>
      <w:r>
        <w:t xml:space="preserve"> </w:t>
      </w:r>
      <w:r>
        <w:t xml:space="preserve">means the volume incentive earned and issued under Section 9 and Schedule D, redeemable solely against future purchases of Products.</w:t>
      </w:r>
    </w:p>
    <w:p>
      <w:pPr>
        <w:pStyle w:val="BodyText"/>
      </w:pPr>
      <w:r>
        <w:rPr>
          <w:b/>
          <w:bCs/>
        </w:rPr>
        <w:t xml:space="preserve">“Products”</w:t>
      </w:r>
      <w:r>
        <w:t xml:space="preserve"> </w:t>
      </w:r>
      <w:r>
        <w:t xml:space="preserve">means the products listed in Schedule A, as amended by MADE from time to time in accordance with Section 27, together with any Custom Products and Custom Configurations agreed under Section 27.</w:t>
      </w:r>
    </w:p>
    <w:p>
      <w:pPr>
        <w:pStyle w:val="BodyText"/>
      </w:pPr>
      <w:r>
        <w:rPr>
          <w:b/>
          <w:bCs/>
        </w:rPr>
        <w:t xml:space="preserve">“Prohibited Clinical Use”</w:t>
      </w:r>
      <w:r>
        <w:t xml:space="preserve"> </w:t>
      </w:r>
      <w:r>
        <w:t xml:space="preserve">means, without limitation: (a) administration to, or use in or on, any human or animal by any route, including injection, infusion, implantation, transplantation, instillation, inhalation, ingestion, or topical or aesthetic application; (b) use in any clinical trial, expanded access, compassionate use, right-to-try, or other human investigational or treatment protocol; (c) use as, or as a component of, any drug, biologic, medical device, in-vitro diagnostic, cosmetic, or dietary supplement intended for human or animal use; (d) compounding, formulating, aliquoting, or repackaging for any of the foregoing; and (e) resale, transfer, or supply to any person who the supplier knows, or reasonably should know, will do any of the foregoing.</w:t>
      </w:r>
    </w:p>
    <w:p>
      <w:pPr>
        <w:pStyle w:val="BodyText"/>
      </w:pPr>
      <w:r>
        <w:rPr>
          <w:b/>
          <w:bCs/>
        </w:rPr>
        <w:t xml:space="preserve">“RUO Legend”</w:t>
      </w:r>
      <w:r>
        <w:t xml:space="preserve"> </w:t>
      </w:r>
      <w:r>
        <w:t xml:space="preserve">means the statement</w:t>
      </w:r>
      <w:r>
        <w:t xml:space="preserve"> </w:t>
      </w:r>
      <w:r>
        <w:t xml:space="preserve">“</w:t>
      </w:r>
      <w:r>
        <w:rPr>
          <w:b/>
          <w:bCs/>
        </w:rPr>
        <w:t xml:space="preserve">RESEARCH USE ONLY — NOT FOR USE IN HUMANS OR ANIMALS</w:t>
      </w:r>
      <w:r>
        <w:t xml:space="preserve">”</w:t>
      </w:r>
      <w:r>
        <w:t xml:space="preserve">, together with any additional legend MADE specifies.</w:t>
      </w:r>
    </w:p>
    <w:p>
      <w:pPr>
        <w:pStyle w:val="BodyText"/>
      </w:pPr>
      <w:r>
        <w:rPr>
          <w:b/>
          <w:bCs/>
        </w:rPr>
        <w:t xml:space="preserve">“Specifications”</w:t>
      </w:r>
      <w:r>
        <w:t xml:space="preserve"> </w:t>
      </w:r>
      <w:r>
        <w:t xml:space="preserve">means, for each Product, the release specifications set out in Schedule A, as amended by MADE.</w:t>
      </w:r>
    </w:p>
    <w:p>
      <w:pPr>
        <w:pStyle w:val="BodyText"/>
      </w:pPr>
      <w:r>
        <w:rPr>
          <w:b/>
          <w:bCs/>
        </w:rPr>
        <w:t xml:space="preserve">“Taxes”</w:t>
      </w:r>
      <w:r>
        <w:t xml:space="preserve"> </w:t>
      </w:r>
      <w:r>
        <w:t xml:space="preserve">has the meaning given in Section 11.1.</w:t>
      </w:r>
    </w:p>
    <w:p>
      <w:pPr>
        <w:pStyle w:val="BodyText"/>
      </w:pPr>
      <w:r>
        <w:rPr>
          <w:b/>
          <w:bCs/>
        </w:rPr>
        <w:t xml:space="preserve">“Territory”</w:t>
      </w:r>
      <w:r>
        <w:t xml:space="preserve"> </w:t>
      </w:r>
      <w:r>
        <w:t xml:space="preserve">means the geographic area specified in Schedule B.</w:t>
      </w:r>
    </w:p>
    <w:p>
      <w:pPr>
        <w:pStyle w:val="BodyText"/>
      </w:pPr>
      <w:r>
        <w:rPr>
          <w:b/>
          <w:bCs/>
        </w:rPr>
        <w:t xml:space="preserve">“White Label Product”</w:t>
      </w:r>
      <w:r>
        <w:t xml:space="preserve"> </w:t>
      </w:r>
      <w:r>
        <w:t xml:space="preserve">means a Product supplied with secondary packaging bearing Distributor Marks in accordance with Schedule H.</w:t>
      </w:r>
    </w:p>
    <w:p>
      <w:pPr>
        <w:pStyle w:val="BodyText"/>
      </w:pPr>
      <w:r>
        <w:rPr>
          <w:b/>
          <w:bCs/>
        </w:rPr>
        <w:t xml:space="preserve">1.2 Interpretation.</w:t>
      </w:r>
      <w:r>
        <w:t xml:space="preserve"> </w:t>
      </w:r>
      <w:r>
        <w:t xml:space="preserve">Headings are for convenience only.</w:t>
      </w:r>
      <w:r>
        <w:t xml:space="preserve"> </w:t>
      </w:r>
      <w:r>
        <w:t xml:space="preserve">“Including”</w:t>
      </w:r>
      <w:r>
        <w:t xml:space="preserve"> </w:t>
      </w:r>
      <w:r>
        <w:t xml:space="preserve">means</w:t>
      </w:r>
      <w:r>
        <w:t xml:space="preserve"> </w:t>
      </w:r>
      <w:r>
        <w:t xml:space="preserve">“including without limitation”</w:t>
      </w:r>
      <w:r>
        <w:t xml:space="preserve">. References to a statute include its regulations and successors.</w:t>
      </w:r>
      <w:r>
        <w:t xml:space="preserve"> </w:t>
      </w:r>
      <w:r>
        <w:t xml:space="preserve">“Days”</w:t>
      </w:r>
      <w:r>
        <w:t xml:space="preserve"> </w:t>
      </w:r>
      <w:r>
        <w:t xml:space="preserve">means calendar days unless</w:t>
      </w:r>
      <w:r>
        <w:t xml:space="preserve"> </w:t>
      </w:r>
      <w:r>
        <w:t xml:space="preserve">“Business Days”</w:t>
      </w:r>
      <w:r>
        <w:t xml:space="preserve"> </w:t>
      </w:r>
      <w:r>
        <w:t xml:space="preserve">is stated. In the event of conflict, the body of this Agreement prevails over the Schedules, except where a Schedule expressly states that it overrides a specified Section.</w:t>
      </w:r>
    </w:p>
    <w:p>
      <w:r>
        <w:pict>
          <v:rect style="width:0;height:1.5pt" o:hralign="center" o:hrstd="t" o:hr="t"/>
        </w:pict>
      </w:r>
    </w:p>
    <w:bookmarkEnd w:id="11"/>
    <w:bookmarkStart w:id="12" w:name="appointment-exclusivity-reservations"/>
    <w:p>
      <w:pPr>
        <w:pStyle w:val="Heading1"/>
      </w:pPr>
      <w:r>
        <w:t xml:space="preserve">2. APPOINTMENT; EXCLUSIVITY; RESERVATIONS</w:t>
      </w:r>
    </w:p>
    <w:p>
      <w:pPr>
        <w:pStyle w:val="FirstParagraph"/>
      </w:pPr>
      <w:r>
        <w:rPr>
          <w:b/>
          <w:bCs/>
        </w:rPr>
        <w:t xml:space="preserve">2.1 Appointment.</w:t>
      </w:r>
      <w:r>
        <w:t xml:space="preserve"> </w:t>
      </w:r>
      <w:r>
        <w:t xml:space="preserve">MADE appoints Distributor, and Distributor accepts appointment, as MADE’s</w:t>
      </w:r>
      <w:r>
        <w:t xml:space="preserve"> </w:t>
      </w:r>
      <w:r>
        <w:rPr>
          <w:rStyle w:val="VerbatimChar"/>
        </w:rPr>
        <w:t xml:space="preserve">[EXCLUSIVE / NON-EXCLUSIVE]</w:t>
      </w:r>
      <w:r>
        <w:t xml:space="preserve"> </w:t>
      </w:r>
      <w:r>
        <w:t xml:space="preserve">distributor to market and resell the Products in the Territory, solely within the Field and solely for the Permitted Use, on the terms of this Agreement.</w:t>
      </w:r>
    </w:p>
    <w:p>
      <w:pPr>
        <w:pStyle w:val="BodyText"/>
      </w:pPr>
      <w:r>
        <w:rPr>
          <w:b/>
          <w:bCs/>
        </w:rPr>
        <w:t xml:space="preserve">2.2 Independent Reseller; No Agency.</w:t>
      </w:r>
      <w:r>
        <w:t xml:space="preserve"> </w:t>
      </w:r>
      <w:r>
        <w:t xml:space="preserve">Distributor purchases Products from MADE for its own account and resells them in its own name, at prices it determines, and at its own risk. Distributor is an independent contractor. Nothing in this Agreement creates any agency, partnership, joint venture, franchise, or employment relationship, and Distributor has no authority to bind MADE, to make any representation or warranty on MADE’s behalf, or to hold itself out as MADE’s agent. Distributor shall not describe itself as a</w:t>
      </w:r>
      <w:r>
        <w:t xml:space="preserve"> </w:t>
      </w:r>
      <w:r>
        <w:t xml:space="preserve">“commercial agent”</w:t>
      </w:r>
      <w:r>
        <w:t xml:space="preserve">, and shall not register this Agreement or itself as an agency arrangement in any jurisdiction, without MADE’s prior written consent.</w:t>
      </w:r>
    </w:p>
    <w:p>
      <w:pPr>
        <w:pStyle w:val="BodyText"/>
      </w:pPr>
      <w:r>
        <w:rPr>
          <w:b/>
          <w:bCs/>
        </w:rPr>
        <w:t xml:space="preserve">2.3 Exclusivity Conditional.</w:t>
      </w:r>
      <w:r>
        <w:t xml:space="preserve"> </w:t>
      </w:r>
      <w:r>
        <w:t xml:space="preserve">Where Schedule B designates the appointment as exclusive, that exclusivity is expressly</w:t>
      </w:r>
      <w:r>
        <w:t xml:space="preserve"> </w:t>
      </w:r>
      <w:r>
        <w:rPr>
          <w:b/>
          <w:bCs/>
        </w:rPr>
        <w:t xml:space="preserve">conditioned upon</w:t>
      </w:r>
      <w:r>
        <w:t xml:space="preserve"> </w:t>
      </w:r>
      <w:r>
        <w:t xml:space="preserve">Distributor (a) meeting each Minimum Purchase Commitment under Section 4; and (b) complying in all material respects with Sections 17, 25, 28 and 36. Exclusivity confers no right to any minimum volume, revenue, or margin.</w:t>
      </w:r>
    </w:p>
    <w:p>
      <w:pPr>
        <w:pStyle w:val="BodyText"/>
      </w:pPr>
      <w:r>
        <w:rPr>
          <w:b/>
          <w:bCs/>
        </w:rPr>
        <w:t xml:space="preserve">2.4 MADE Reservations.</w:t>
      </w:r>
      <w:r>
        <w:t xml:space="preserve"> </w:t>
      </w:r>
      <w:r>
        <w:t xml:space="preserve">Notwithstanding any exclusivity, MADE reserves the right, at all times and without compensation to Distributor, to:</w:t>
      </w:r>
    </w:p>
    <w:p>
      <w:pPr>
        <w:numPr>
          <w:ilvl w:val="0"/>
          <w:numId w:val="1002"/>
        </w:numPr>
      </w:pPr>
      <w:r>
        <w:t xml:space="preserve">sell, supply, and distribute Products directly to the Reserved Accounts and House Accounts identified in Schedule B;</w:t>
      </w:r>
    </w:p>
    <w:p>
      <w:pPr>
        <w:numPr>
          <w:ilvl w:val="0"/>
          <w:numId w:val="1002"/>
        </w:numPr>
      </w:pPr>
      <w:r>
        <w:t xml:space="preserve">sell and supply Products anywhere outside the Territory;</w:t>
      </w:r>
    </w:p>
    <w:p>
      <w:pPr>
        <w:numPr>
          <w:ilvl w:val="0"/>
          <w:numId w:val="1002"/>
        </w:numPr>
      </w:pPr>
      <w:r>
        <w:t xml:space="preserve">supply Products for MADE’s own research, development, manufacturing, and regulatory purposes, and to its Affiliates;</w:t>
      </w:r>
    </w:p>
    <w:p>
      <w:pPr>
        <w:numPr>
          <w:ilvl w:val="0"/>
          <w:numId w:val="1002"/>
        </w:numPr>
      </w:pPr>
      <w:r>
        <w:t xml:space="preserve">supply Products to any person under a contract development and manufacturing arrangement, technology-transfer arrangement, or collaboration, including where such person distributes or commercializes the resulting products;</w:t>
      </w:r>
    </w:p>
    <w:p>
      <w:pPr>
        <w:numPr>
          <w:ilvl w:val="0"/>
          <w:numId w:val="1002"/>
        </w:numPr>
      </w:pPr>
      <w:r>
        <w:t xml:space="preserve">develop, manufacture, and commercialize any product that is not a Product; and</w:t>
      </w:r>
    </w:p>
    <w:p>
      <w:pPr>
        <w:numPr>
          <w:ilvl w:val="0"/>
          <w:numId w:val="1002"/>
        </w:numPr>
      </w:pPr>
      <w:r>
        <w:t xml:space="preserve">fulfil unsolicited orders received from customers located in the Territory, in which case MADE shall</w:t>
      </w:r>
      <w:r>
        <w:t xml:space="preserve"> </w:t>
      </w:r>
      <w:r>
        <w:rPr>
          <w:rStyle w:val="VerbatimChar"/>
        </w:rPr>
        <w:t xml:space="preserve">[pay Distributor a referral fee of [__]% / refer the order to Distributor]</w:t>
      </w:r>
      <w:r>
        <w:t xml:space="preserve">.</w:t>
      </w:r>
    </w:p>
    <w:p>
      <w:pPr>
        <w:pStyle w:val="FirstParagraph"/>
      </w:pPr>
      <w:r>
        <w:rPr>
          <w:b/>
          <w:bCs/>
        </w:rPr>
        <w:t xml:space="preserve">2.5 Active and Passive Sales.</w:t>
      </w:r>
      <w:r>
        <w:t xml:space="preserve"> </w:t>
      </w:r>
      <w:r>
        <w:t xml:space="preserve">Distributor shall not</w:t>
      </w:r>
      <w:r>
        <w:t xml:space="preserve"> </w:t>
      </w:r>
      <w:r>
        <w:rPr>
          <w:b/>
          <w:bCs/>
        </w:rPr>
        <w:t xml:space="preserve">actively</w:t>
      </w:r>
      <w:r>
        <w:t xml:space="preserve"> </w:t>
      </w:r>
      <w:r>
        <w:t xml:space="preserve">solicit sales of Products into any territory or customer group that MADE has reserved to itself or exclusively allocated to another distributor.</w:t>
      </w:r>
      <w:r>
        <w:t xml:space="preserve"> </w:t>
      </w:r>
      <w:r>
        <w:t xml:space="preserve">“Actively solicit”</w:t>
      </w:r>
      <w:r>
        <w:t xml:space="preserve"> </w:t>
      </w:r>
      <w:r>
        <w:t xml:space="preserve">means targeted outreach to customers in that territory or group, including targeted advertising, direct mail, targeted email or telephone campaigns, or establishing a branch, outlet, or distribution warehouse there.</w:t>
      </w:r>
      <w:r>
        <w:t xml:space="preserve"> </w:t>
      </w:r>
      <w:r>
        <w:rPr>
          <w:b/>
          <w:bCs/>
        </w:rPr>
        <w:t xml:space="preserve">Distributor remains free at all times to make passive sales</w:t>
      </w:r>
      <w:r>
        <w:t xml:space="preserve"> </w:t>
      </w:r>
      <w:r>
        <w:t xml:space="preserve">— that is, to fulfil unsolicited orders from customers located outside the Territory, including orders received through Distributor’s own general website or general (non-targeted) advertising — and MADE shall not restrict such passive sales. Any sale by Distributor outside the Territory remains subject to Sections 17 and 36.</w:t>
      </w:r>
    </w:p>
    <w:p>
      <w:pPr>
        <w:pStyle w:val="BodyText"/>
      </w:pPr>
      <w:r>
        <w:rPr>
          <w:b/>
          <w:bCs/>
        </w:rPr>
        <w:t xml:space="preserve">2.6 Sub-Distributors.</w:t>
      </w:r>
      <w:r>
        <w:t xml:space="preserve"> </w:t>
      </w:r>
      <w:r>
        <w:t xml:space="preserve">Distributor shall not appoint any sub-distributor, agent, or reseller without MADE’s prior written consent. Where consented to, Distributor shall procure that each sub-distributor is bound in writing to obligations no less protective than Sections 17, 19, 20, 21, 22, 25, 26, 28, 29 and 36, shall provide MADE a copy on request, and</w:t>
      </w:r>
      <w:r>
        <w:t xml:space="preserve"> </w:t>
      </w:r>
      <w:r>
        <w:rPr>
          <w:b/>
          <w:bCs/>
        </w:rPr>
        <w:t xml:space="preserve">shall remain fully liable to MADE for the acts and omissions of each sub-distributor as if they were Distributor’s own</w:t>
      </w:r>
      <w:r>
        <w:t xml:space="preserve">.</w:t>
      </w:r>
    </w:p>
    <w:p>
      <w:pPr>
        <w:pStyle w:val="BodyText"/>
      </w:pPr>
      <w:r>
        <w:rPr>
          <w:b/>
          <w:bCs/>
        </w:rPr>
        <w:t xml:space="preserve">2.7 No Sale for Resale Outside Field.</w:t>
      </w:r>
      <w:r>
        <w:t xml:space="preserve"> </w:t>
      </w:r>
      <w:r>
        <w:t xml:space="preserve">Distributor shall sell Products only to customers who purchase for the Permitted Use, and shall not sell Products to any person for onward resale except a sub-distributor approved under Section 2.6.</w:t>
      </w:r>
    </w:p>
    <w:p>
      <w:r>
        <w:pict>
          <v:rect style="width:0;height:1.5pt" o:hralign="center" o:hrstd="t" o:hr="t"/>
        </w:pict>
      </w:r>
    </w:p>
    <w:bookmarkEnd w:id="12"/>
    <w:bookmarkStart w:id="13" w:name="distributor-exclusivity-to-made"/>
    <w:p>
      <w:pPr>
        <w:pStyle w:val="Heading1"/>
      </w:pPr>
      <w:r>
        <w:t xml:space="preserve">3. DISTRIBUTOR EXCLUSIVITY TO MADE</w:t>
      </w:r>
    </w:p>
    <w:p>
      <w:pPr>
        <w:pStyle w:val="FirstParagraph"/>
      </w:pPr>
      <w:r>
        <w:rPr>
          <w:b/>
          <w:bCs/>
        </w:rPr>
        <w:t xml:space="preserve">3.1 Non-Compete.</w:t>
      </w:r>
      <w:r>
        <w:t xml:space="preserve"> </w:t>
      </w:r>
      <w:r>
        <w:t xml:space="preserve">During the Term, Distributor shall not, and shall procure that its Affiliates and sub-distributors shall not, within the Territory, distribute, promote, market, resell, or otherwise commercialize any product that competes with a Product within the following categories:</w:t>
      </w:r>
      <w:r>
        <w:t xml:space="preserve"> </w:t>
      </w:r>
      <w:r>
        <w:rPr>
          <w:rStyle w:val="VerbatimChar"/>
        </w:rPr>
        <w:t xml:space="preserve">[mesenchymal stem cells; cell-derived secretome/conditioned media; cell-derived extracellular vesicles/exosomes]</w:t>
      </w:r>
      <w:r>
        <w:t xml:space="preserve"> </w:t>
      </w:r>
      <w:r>
        <w:t xml:space="preserve">(each a</w:t>
      </w:r>
      <w:r>
        <w:t xml:space="preserve"> </w:t>
      </w:r>
      <w:r>
        <w:t xml:space="preserve">“</w:t>
      </w:r>
      <w:r>
        <w:rPr>
          <w:b/>
          <w:bCs/>
        </w:rPr>
        <w:t xml:space="preserve">Competing Product</w:t>
      </w:r>
      <w:r>
        <w:t xml:space="preserve">”</w:t>
      </w:r>
      <w:r>
        <w:t xml:space="preserve">).</w:t>
      </w:r>
    </w:p>
    <w:p>
      <w:pPr>
        <w:pStyle w:val="BodyText"/>
      </w:pPr>
      <w:r>
        <w:rPr>
          <w:b/>
          <w:bCs/>
        </w:rPr>
        <w:t xml:space="preserve">3.2 Duration Cap.</w:t>
      </w:r>
      <w:r>
        <w:t xml:space="preserve"> </w:t>
      </w:r>
      <w:r>
        <w:t xml:space="preserve">The obligation in Section 3.1 shall not exceed</w:t>
      </w:r>
      <w:r>
        <w:t xml:space="preserve"> </w:t>
      </w:r>
      <w:r>
        <w:rPr>
          <w:b/>
          <w:bCs/>
        </w:rPr>
        <w:t xml:space="preserve">five (5) years</w:t>
      </w:r>
      <w:r>
        <w:t xml:space="preserve"> </w:t>
      </w:r>
      <w:r>
        <w:t xml:space="preserve">from the Effective Date. It shall not renew automatically or tacitly; any extension requires a new, expressly negotiated written agreement executed by both Parties.</w:t>
      </w:r>
    </w:p>
    <w:p>
      <w:pPr>
        <w:pStyle w:val="BodyText"/>
      </w:pPr>
      <w:r>
        <w:rPr>
          <w:b/>
          <w:bCs/>
        </w:rPr>
        <w:t xml:space="preserve">3.3 Existing Products.</w:t>
      </w:r>
      <w:r>
        <w:t xml:space="preserve"> </w:t>
      </w:r>
      <w:r>
        <w:t xml:space="preserve">Distributor has disclosed in Schedule B all Competing Products it distributed as at the Effective Date.</w:t>
      </w:r>
      <w:r>
        <w:t xml:space="preserve"> </w:t>
      </w:r>
      <w:r>
        <w:rPr>
          <w:rStyle w:val="VerbatimChar"/>
        </w:rPr>
        <w:t xml:space="preserve">[Distributor shall divest or discontinue such Competing Products within [__] days of the Effective Date.]</w:t>
      </w:r>
    </w:p>
    <w:p>
      <w:pPr>
        <w:pStyle w:val="BodyText"/>
      </w:pPr>
      <w:r>
        <w:rPr>
          <w:b/>
          <w:bCs/>
        </w:rPr>
        <w:t xml:space="preserve">3.4 Severability of Restraint.</w:t>
      </w:r>
      <w:r>
        <w:t xml:space="preserve"> </w:t>
      </w:r>
      <w:r>
        <w:t xml:space="preserve">If the restraint in Section 3.1 is held unenforceable in any jurisdiction by reason of its scope, category, or duration, it shall be enforced to the maximum extent permitted in that jurisdiction, and its unenforceability shall not affect its enforceability elsewhere.</w:t>
      </w:r>
    </w:p>
    <w:p>
      <w:r>
        <w:pict>
          <v:rect style="width:0;height:1.5pt" o:hralign="center" o:hrstd="t" o:hr="t"/>
        </w:pict>
      </w:r>
    </w:p>
    <w:bookmarkEnd w:id="13"/>
    <w:bookmarkStart w:id="14" w:name="minimum-purchase-commitment"/>
    <w:p>
      <w:pPr>
        <w:pStyle w:val="Heading1"/>
      </w:pPr>
      <w:r>
        <w:t xml:space="preserve">4. MINIMUM PURCHASE COMMITMENT</w:t>
      </w:r>
    </w:p>
    <w:p>
      <w:pPr>
        <w:pStyle w:val="FirstParagraph"/>
      </w:pPr>
      <w:r>
        <w:rPr>
          <w:b/>
          <w:bCs/>
        </w:rPr>
        <w:t xml:space="preserve">4.1 Commitment.</w:t>
      </w:r>
      <w:r>
        <w:t xml:space="preserve"> </w:t>
      </w:r>
      <w:r>
        <w:t xml:space="preserve">Distributor shall purchase, in each Measurement Period, not less than the Minimum Purchase Commitment set out in Schedule D. Purchases are counted on the basis of Products</w:t>
      </w:r>
      <w:r>
        <w:t xml:space="preserve"> </w:t>
      </w:r>
      <w:r>
        <w:rPr>
          <w:b/>
          <w:bCs/>
        </w:rPr>
        <w:t xml:space="preserve">invoiced</w:t>
      </w:r>
      <w:r>
        <w:t xml:space="preserve"> </w:t>
      </w:r>
      <w:r>
        <w:t xml:space="preserve">in the Measurement Period, net of credits and returns, and exclude samples, Product Credits redeemed, freight, and taxes.</w:t>
      </w:r>
    </w:p>
    <w:p>
      <w:pPr>
        <w:pStyle w:val="BodyText"/>
      </w:pPr>
      <w:r>
        <w:rPr>
          <w:b/>
          <w:bCs/>
        </w:rPr>
        <w:t xml:space="preserve">4.2 Sole Structural Remedy — Conversion.</w:t>
      </w:r>
      <w:r>
        <w:t xml:space="preserve"> </w:t>
      </w:r>
      <w:r>
        <w:t xml:space="preserve">If Distributor fails to meet a Minimum Purchase Commitment, MADE’s sole structural remedy is, at MADE’s election and on thirty (30) days’ written notice, to:</w:t>
      </w:r>
    </w:p>
    <w:p>
      <w:pPr>
        <w:numPr>
          <w:ilvl w:val="0"/>
          <w:numId w:val="1003"/>
        </w:numPr>
      </w:pPr>
      <w:r>
        <w:t xml:space="preserve">convert the appointment from exclusive to non-exclusive;</w:t>
      </w:r>
    </w:p>
    <w:p>
      <w:pPr>
        <w:numPr>
          <w:ilvl w:val="0"/>
          <w:numId w:val="1003"/>
        </w:numPr>
      </w:pPr>
      <w:r>
        <w:t xml:space="preserve">reduce the Territory, or remove one or more Products from Schedule A; and/or</w:t>
      </w:r>
    </w:p>
    <w:p>
      <w:pPr>
        <w:numPr>
          <w:ilvl w:val="0"/>
          <w:numId w:val="1003"/>
        </w:numPr>
      </w:pPr>
      <w:r>
        <w:t xml:space="preserve">reduce or withdraw the Product Credit rate and the sampling allowance for the following Measurement Period.</w:t>
      </w:r>
    </w:p>
    <w:p>
      <w:pPr>
        <w:pStyle w:val="FirstParagraph"/>
      </w:pPr>
      <w:r>
        <w:t xml:space="preserve">Such conversion, reduction, or withdrawal is</w:t>
      </w:r>
      <w:r>
        <w:t xml:space="preserve"> </w:t>
      </w:r>
      <w:r>
        <w:rPr>
          <w:b/>
          <w:bCs/>
        </w:rPr>
        <w:t xml:space="preserve">not a breach of this Agreement by either Party</w:t>
      </w:r>
      <w:r>
        <w:t xml:space="preserve">, does not give rise to any claim for damages or compensation by Distributor, and is without prejudice to MADE’s other rights.</w:t>
      </w:r>
    </w:p>
    <w:p>
      <w:pPr>
        <w:pStyle w:val="BodyText"/>
      </w:pPr>
      <w:r>
        <w:rPr>
          <w:b/>
          <w:bCs/>
        </w:rPr>
        <w:t xml:space="preserve">4.2A Repeated Shortfall.</w:t>
      </w:r>
      <w:r>
        <w:t xml:space="preserve"> </w:t>
      </w:r>
      <w:r>
        <w:rPr>
          <w:rStyle w:val="VerbatimChar"/>
        </w:rPr>
        <w:t xml:space="preserve">[Optional: Failure to meet the Minimum Purchase Commitment in two (2) consecutive Measurement Periods entitles MADE to terminate this Agreement on thirty (30) days' written notice under Section 38.2, without further cure right.]</w:t>
      </w:r>
    </w:p>
    <w:p>
      <w:pPr>
        <w:pStyle w:val="BodyText"/>
      </w:pPr>
      <w:r>
        <w:rPr>
          <w:b/>
          <w:bCs/>
        </w:rPr>
        <w:t xml:space="preserve">4.3 No Penalty.</w:t>
      </w:r>
      <w:r>
        <w:t xml:space="preserve"> </w:t>
      </w:r>
      <w:r>
        <w:t xml:space="preserve">For the avoidance of doubt, a shortfall against a Minimum Purchase Commitment does not of itself give rise to a payment obligation, liquidated damages, or a claim in damages by MADE.</w:t>
      </w:r>
    </w:p>
    <w:p>
      <w:pPr>
        <w:pStyle w:val="BodyText"/>
      </w:pPr>
      <w:r>
        <w:rPr>
          <w:b/>
          <w:bCs/>
        </w:rPr>
        <w:t xml:space="preserve">4.4 Relief.</w:t>
      </w:r>
      <w:r>
        <w:t xml:space="preserve"> </w:t>
      </w:r>
      <w:r>
        <w:t xml:space="preserve">The Minimum Purchase Commitment shall be equitably reduced to the extent Distributor’s shortfall is directly caused by (a) MADE’s failure to supply accepted Purchase Orders; (b) an allocation under Section 16; or (c) a Force Majeure Event affecting MADE.</w:t>
      </w:r>
    </w:p>
    <w:p>
      <w:r>
        <w:pict>
          <v:rect style="width:0;height:1.5pt" o:hralign="center" o:hrstd="t" o:hr="t"/>
        </w:pict>
      </w:r>
    </w:p>
    <w:bookmarkEnd w:id="14"/>
    <w:bookmarkStart w:id="18" w:name="X8604442e27498a0a102b8c58aa58c9cd7f003e0"/>
    <w:p>
      <w:pPr>
        <w:pStyle w:val="Heading1"/>
      </w:pPr>
      <w:r>
        <w:t xml:space="preserve">5. DISTRIBUTOR DILIGENCE; FORECASTING; REPORTING</w:t>
      </w:r>
    </w:p>
    <w:bookmarkStart w:id="15" w:name="diligence-and-promotion"/>
    <w:p>
      <w:pPr>
        <w:pStyle w:val="Heading2"/>
      </w:pPr>
      <w:r>
        <w:t xml:space="preserve">Diligence and Promotion</w:t>
      </w:r>
    </w:p>
    <w:p>
      <w:pPr>
        <w:pStyle w:val="FirstParagraph"/>
      </w:pPr>
      <w:r>
        <w:rPr>
          <w:b/>
          <w:bCs/>
        </w:rPr>
        <w:t xml:space="preserve">5.1 Diligent Efforts.</w:t>
      </w:r>
      <w:r>
        <w:t xml:space="preserve"> </w:t>
      </w:r>
      <w:r>
        <w:t xml:space="preserve">Distributor shall use commercially reasonable efforts, consistent with good industry practice, to promote, market, and maximise the sale of the Products for the Permitted Use throughout the Territory, and to satisfy demand from qualified customers. Distributor shall not, directly or indirectly, promote, market, or divert demand to any Competing Product.</w:t>
      </w:r>
    </w:p>
    <w:p>
      <w:pPr>
        <w:pStyle w:val="BodyText"/>
      </w:pPr>
      <w:r>
        <w:rPr>
          <w:b/>
          <w:bCs/>
        </w:rPr>
        <w:t xml:space="preserve">5.2 Resources.</w:t>
      </w:r>
      <w:r>
        <w:t xml:space="preserve"> </w:t>
      </w:r>
      <w:r>
        <w:t xml:space="preserve">Distributor shall, at its own cost, maintain (a) a competent and adequately trained sales, technical, and customer-service organisation sufficient to perform this Agreement; (b) the facilities, cold-chain, and storage capability required by Sections 12, 14, and 19; and (c) the licences, permits, and registrations required by Section 23. Distributor shall ensure that personnel who handle, store, or ship Products are trained in their handling and in the requirements of Section 17, and shall keep records of that training.</w:t>
      </w:r>
    </w:p>
    <w:p>
      <w:pPr>
        <w:pStyle w:val="BodyText"/>
      </w:pPr>
      <w:r>
        <w:rPr>
          <w:b/>
          <w:bCs/>
        </w:rPr>
        <w:t xml:space="preserve">5.3 Standards; Conduct.</w:t>
      </w:r>
      <w:r>
        <w:t xml:space="preserve"> </w:t>
      </w:r>
      <w:r>
        <w:t xml:space="preserve">Distributor shall conduct its business in a manner that reflects favourably on the Products and the MADE Marks, shall make no false or misleading statement about the Products, MADE, or any competitor, and shall make no representation, warranty, or claim about the Products beyond those authorised by Sections 17 and 32.</w:t>
      </w:r>
    </w:p>
    <w:bookmarkEnd w:id="15"/>
    <w:bookmarkStart w:id="16" w:name="forecasting"/>
    <w:p>
      <w:pPr>
        <w:pStyle w:val="Heading2"/>
      </w:pPr>
      <w:r>
        <w:t xml:space="preserve">Forecasting</w:t>
      </w:r>
    </w:p>
    <w:p>
      <w:pPr>
        <w:pStyle w:val="FirstParagraph"/>
      </w:pPr>
      <w:r>
        <w:rPr>
          <w:b/>
          <w:bCs/>
        </w:rPr>
        <w:t xml:space="preserve">5.4 Rolling Forecast.</w:t>
      </w:r>
      <w:r>
        <w:t xml:space="preserve"> </w:t>
      </w:r>
      <w:r>
        <w:t xml:space="preserve">Within</w:t>
      </w:r>
      <w:r>
        <w:t xml:space="preserve"> </w:t>
      </w:r>
      <w:r>
        <w:rPr>
          <w:rStyle w:val="VerbatimChar"/>
        </w:rPr>
        <w:t xml:space="preserve">[fifteen (15)]</w:t>
      </w:r>
      <w:r>
        <w:t xml:space="preserve"> </w:t>
      </w:r>
      <w:r>
        <w:t xml:space="preserve">days of the Effective Date and thereafter on or before the</w:t>
      </w:r>
      <w:r>
        <w:t xml:space="preserve"> </w:t>
      </w:r>
      <w:r>
        <w:rPr>
          <w:rStyle w:val="VerbatimChar"/>
        </w:rPr>
        <w:t xml:space="preserve">[first]</w:t>
      </w:r>
      <w:r>
        <w:t xml:space="preserve"> </w:t>
      </w:r>
      <w:r>
        <w:t xml:space="preserve">Business Day of each calendar month, Distributor shall submit through the Portal a rolling</w:t>
      </w:r>
      <w:r>
        <w:t xml:space="preserve"> </w:t>
      </w:r>
      <w:r>
        <w:rPr>
          <w:b/>
          <w:bCs/>
        </w:rPr>
        <w:t xml:space="preserve">twelve (12) month</w:t>
      </w:r>
      <w:r>
        <w:t xml:space="preserve"> </w:t>
      </w:r>
      <w:r>
        <w:t xml:space="preserve">forecast of its anticipated Product requirements by Product, presentation, and month.</w:t>
      </w:r>
    </w:p>
    <w:p>
      <w:pPr>
        <w:pStyle w:val="BodyText"/>
      </w:pPr>
      <w:r>
        <w:rPr>
          <w:b/>
          <w:bCs/>
        </w:rPr>
        <w:t xml:space="preserve">5.5 Binding Window.</w:t>
      </w:r>
      <w:r>
        <w:t xml:space="preserve"> </w:t>
      </w:r>
      <w:r>
        <w:t xml:space="preserve">The</w:t>
      </w:r>
      <w:r>
        <w:t xml:space="preserve"> </w:t>
      </w:r>
      <w:r>
        <w:rPr>
          <w:b/>
          <w:bCs/>
        </w:rPr>
        <w:t xml:space="preserve">first three (3) months</w:t>
      </w:r>
      <w:r>
        <w:t xml:space="preserve"> </w:t>
      </w:r>
      <w:r>
        <w:t xml:space="preserve">of each rolling forecast are binding on Distributor as to quantity and constitute a commitment to issue conforming Purchase Orders. Months four (4) through twelve (12) are good-faith, non-binding planning estimates.</w:t>
      </w:r>
    </w:p>
    <w:p>
      <w:pPr>
        <w:pStyle w:val="BodyText"/>
      </w:pPr>
      <w:r>
        <w:rPr>
          <w:b/>
          <w:bCs/>
        </w:rPr>
        <w:t xml:space="preserve">5.6 Variance.</w:t>
      </w:r>
      <w:r>
        <w:t xml:space="preserve"> </w:t>
      </w:r>
      <w:r>
        <w:t xml:space="preserve">Purchase Orders for the binding window may vary from forecast by not more than</w:t>
      </w:r>
      <w:r>
        <w:t xml:space="preserve"> </w:t>
      </w:r>
      <w:r>
        <w:rPr>
          <w:rStyle w:val="VerbatimChar"/>
        </w:rPr>
        <w:t xml:space="preserve">[±20%]</w:t>
      </w:r>
      <w:r>
        <w:t xml:space="preserve"> </w:t>
      </w:r>
      <w:r>
        <w:t xml:space="preserve">without MADE’s written consent. MADE shall use commercially reasonable efforts, but is not obliged, to supply quantities above forecast.</w:t>
      </w:r>
    </w:p>
    <w:p>
      <w:pPr>
        <w:pStyle w:val="BodyText"/>
      </w:pPr>
      <w:r>
        <w:rPr>
          <w:b/>
          <w:bCs/>
        </w:rPr>
        <w:t xml:space="preserve">5.7 Forecast Not a Warranty.</w:t>
      </w:r>
      <w:r>
        <w:t xml:space="preserve"> </w:t>
      </w:r>
      <w:r>
        <w:t xml:space="preserve">Forecasts are estimates. MADE’s acceptance of a forecast is not an agreement to supply, and no Product is committed except under an accepted Purchase Order.</w:t>
      </w:r>
    </w:p>
    <w:bookmarkEnd w:id="16"/>
    <w:bookmarkStart w:id="17" w:name="reporting"/>
    <w:p>
      <w:pPr>
        <w:pStyle w:val="Heading2"/>
      </w:pPr>
      <w:r>
        <w:t xml:space="preserve">Reporting</w:t>
      </w:r>
    </w:p>
    <w:p>
      <w:pPr>
        <w:pStyle w:val="FirstParagraph"/>
      </w:pPr>
      <w:r>
        <w:rPr>
          <w:b/>
          <w:bCs/>
        </w:rPr>
        <w:t xml:space="preserve">5.8 Periodic Reports.</w:t>
      </w:r>
      <w:r>
        <w:t xml:space="preserve"> </w:t>
      </w:r>
      <w:r>
        <w:t xml:space="preserve">Distributor shall provide MADE, through the Portal or in such form as MADE reasonably specifies:</w:t>
      </w:r>
    </w:p>
    <w:p>
      <w:pPr>
        <w:numPr>
          <w:ilvl w:val="0"/>
          <w:numId w:val="1004"/>
        </w:numPr>
      </w:pPr>
      <w:r>
        <w:t xml:space="preserve">a</w:t>
      </w:r>
      <w:r>
        <w:t xml:space="preserve"> </w:t>
      </w:r>
      <w:r>
        <w:rPr>
          <w:b/>
          <w:bCs/>
        </w:rPr>
        <w:t xml:space="preserve">monthly sales report</w:t>
      </w:r>
      <w:r>
        <w:t xml:space="preserve">, by Product, Lot, quantity, and (subject to Applicable Law) resale customer and ship-to location — such report also supporting MADE’s traceability and anti-diversion obligations under Sections 17 and 22;</w:t>
      </w:r>
    </w:p>
    <w:p>
      <w:pPr>
        <w:numPr>
          <w:ilvl w:val="0"/>
          <w:numId w:val="1004"/>
        </w:numPr>
      </w:pPr>
      <w:r>
        <w:t xml:space="preserve">a</w:t>
      </w:r>
      <w:r>
        <w:t xml:space="preserve"> </w:t>
      </w:r>
      <w:r>
        <w:rPr>
          <w:b/>
          <w:bCs/>
        </w:rPr>
        <w:t xml:space="preserve">monthly inventory report</w:t>
      </w:r>
      <w:r>
        <w:t xml:space="preserve"> </w:t>
      </w:r>
      <w:r>
        <w:t xml:space="preserve">stating quantities of each Product on hand, by Lot and expiry date;</w:t>
      </w:r>
    </w:p>
    <w:p>
      <w:pPr>
        <w:numPr>
          <w:ilvl w:val="0"/>
          <w:numId w:val="1004"/>
        </w:numPr>
      </w:pPr>
      <w:r>
        <w:rPr>
          <w:b/>
          <w:bCs/>
        </w:rPr>
        <w:t xml:space="preserve">within</w:t>
      </w:r>
      <w:r>
        <w:rPr>
          <w:b/>
          <w:bCs/>
        </w:rPr>
        <w:t xml:space="preserve"> </w:t>
      </w:r>
      <w:r>
        <w:rPr>
          <w:rStyle w:val="VerbatimChar"/>
          <w:b/>
          <w:bCs/>
        </w:rPr>
        <w:t xml:space="preserve">[thirty (30)]</w:t>
      </w:r>
      <w:r>
        <w:rPr>
          <w:b/>
          <w:bCs/>
        </w:rPr>
        <w:t xml:space="preserve"> </w:t>
      </w:r>
      <w:r>
        <w:rPr>
          <w:b/>
          <w:bCs/>
        </w:rPr>
        <w:t xml:space="preserve">days after each calendar year</w:t>
      </w:r>
      <w:r>
        <w:t xml:space="preserve">, a report of Samples distributed and reconciled under Schedule G, and the End-User Certificates obtained under Section 17.4; and</w:t>
      </w:r>
    </w:p>
    <w:p>
      <w:pPr>
        <w:numPr>
          <w:ilvl w:val="0"/>
          <w:numId w:val="1004"/>
        </w:numPr>
      </w:pPr>
      <w:r>
        <w:rPr>
          <w:b/>
          <w:bCs/>
        </w:rPr>
        <w:t xml:space="preserve">promptly</w:t>
      </w:r>
      <w:r>
        <w:t xml:space="preserve">, notice of any material market development affecting the Products, including any competing product, regulatory change, safety concern, or actual or suspected Prohibited Clinical Use or diversion in the Territory.</w:t>
      </w:r>
    </w:p>
    <w:p>
      <w:pPr>
        <w:pStyle w:val="FirstParagraph"/>
      </w:pPr>
      <w:r>
        <w:rPr>
          <w:b/>
          <w:bCs/>
        </w:rPr>
        <w:t xml:space="preserve">5.9 Meetings.</w:t>
      </w:r>
      <w:r>
        <w:t xml:space="preserve"> </w:t>
      </w:r>
      <w:r>
        <w:t xml:space="preserve">Distributor shall, on reasonable notice, participate in</w:t>
      </w:r>
      <w:r>
        <w:t xml:space="preserve"> </w:t>
      </w:r>
      <w:r>
        <w:rPr>
          <w:rStyle w:val="VerbatimChar"/>
        </w:rPr>
        <w:t xml:space="preserve">[quarterly]</w:t>
      </w:r>
      <w:r>
        <w:t xml:space="preserve"> </w:t>
      </w:r>
      <w:r>
        <w:t xml:space="preserve">business-review meetings (in person or by video) to review performance against forecast and the Minimum Purchase Commitment.</w:t>
      </w:r>
    </w:p>
    <w:p>
      <w:pPr>
        <w:pStyle w:val="BodyText"/>
      </w:pPr>
      <w:r>
        <w:rPr>
          <w:b/>
          <w:bCs/>
        </w:rPr>
        <w:t xml:space="preserve">5.10 Accuracy.</w:t>
      </w:r>
      <w:r>
        <w:t xml:space="preserve"> </w:t>
      </w:r>
      <w:r>
        <w:t xml:space="preserve">Distributor represents that each report it provides is accurate and complete in all material respects, and shall retain the underlying records in accordance with Section 22.2.</w:t>
      </w:r>
    </w:p>
    <w:p>
      <w:r>
        <w:pict>
          <v:rect style="width:0;height:1.5pt" o:hralign="center" o:hrstd="t" o:hr="t"/>
        </w:pict>
      </w:r>
    </w:p>
    <w:bookmarkEnd w:id="17"/>
    <w:bookmarkEnd w:id="18"/>
    <w:bookmarkStart w:id="19" w:name="X1d573a956606af5199b4c0101bf37da0ebc98de"/>
    <w:p>
      <w:pPr>
        <w:pStyle w:val="Heading1"/>
      </w:pPr>
      <w:r>
        <w:t xml:space="preserve">6. ORDERING; PORTAL; ORDER CUT-OFF AND SHIP CADENCE</w:t>
      </w:r>
    </w:p>
    <w:p>
      <w:pPr>
        <w:pStyle w:val="FirstParagraph"/>
      </w:pPr>
      <w:r>
        <w:rPr>
          <w:b/>
          <w:bCs/>
        </w:rPr>
        <w:t xml:space="preserve">6.1 Portal.</w:t>
      </w:r>
      <w:r>
        <w:t xml:space="preserve"> </w:t>
      </w:r>
      <w:r>
        <w:t xml:space="preserve">Distributor shall place all orders through the Portal. MADE may modify the Portal, provided it does not materially reduce functionality. Distributor is responsible for the security of its Portal credentials and for all orders placed under them.</w:t>
      </w:r>
    </w:p>
    <w:p>
      <w:pPr>
        <w:pStyle w:val="BodyText"/>
      </w:pPr>
      <w:r>
        <w:rPr>
          <w:b/>
          <w:bCs/>
        </w:rPr>
        <w:t xml:space="preserve">6.2 Purchase Orders.</w:t>
      </w:r>
      <w:r>
        <w:t xml:space="preserve"> </w:t>
      </w:r>
      <w:r>
        <w:t xml:space="preserve">Each purchase order (</w:t>
      </w:r>
      <w:r>
        <w:t xml:space="preserve">“</w:t>
      </w:r>
      <w:r>
        <w:rPr>
          <w:b/>
          <w:bCs/>
        </w:rPr>
        <w:t xml:space="preserve">Purchase Order</w:t>
      </w:r>
      <w:r>
        <w:t xml:space="preserve">”</w:t>
      </w:r>
      <w:r>
        <w:t xml:space="preserve">) shall specify Product, Specification, presentation, quantity, requested Ship Date, ship-to address, and (where the Drop-Ship Service is used) end-customer details. No Purchase Order is binding on MADE until accepted by MADE in writing or through the Portal.</w:t>
      </w:r>
    </w:p>
    <w:p>
      <w:pPr>
        <w:pStyle w:val="BodyText"/>
      </w:pPr>
      <w:r>
        <w:rPr>
          <w:b/>
          <w:bCs/>
        </w:rPr>
        <w:t xml:space="preserve">6.3 Order Cut-Off and Ship Day.</w:t>
      </w:r>
    </w:p>
    <w:p>
      <w:pPr>
        <w:numPr>
          <w:ilvl w:val="0"/>
          <w:numId w:val="1005"/>
        </w:numPr>
      </w:pPr>
      <w:r>
        <w:t xml:space="preserve">MADE ships Products</w:t>
      </w:r>
      <w:r>
        <w:t xml:space="preserve"> </w:t>
      </w:r>
      <w:r>
        <w:rPr>
          <w:b/>
          <w:bCs/>
        </w:rPr>
        <w:t xml:space="preserve">once weekly, on Wednesday</w:t>
      </w:r>
      <w:r>
        <w:t xml:space="preserve"> </w:t>
      </w:r>
      <w:r>
        <w:t xml:space="preserve">(each a</w:t>
      </w:r>
      <w:r>
        <w:t xml:space="preserve"> </w:t>
      </w:r>
      <w:r>
        <w:t xml:space="preserve">“</w:t>
      </w:r>
      <w:r>
        <w:rPr>
          <w:b/>
          <w:bCs/>
        </w:rPr>
        <w:t xml:space="preserve">Ship Day</w:t>
      </w:r>
      <w:r>
        <w:t xml:space="preserve">”</w:t>
      </w:r>
      <w:r>
        <w:t xml:space="preserve">).</w:t>
      </w:r>
    </w:p>
    <w:p>
      <w:pPr>
        <w:numPr>
          <w:ilvl w:val="0"/>
          <w:numId w:val="1005"/>
        </w:numPr>
      </w:pPr>
      <w:r>
        <w:t xml:space="preserve">To be eligible for a given Ship Day, a conforming Purchase Order must be received and accepted through the Portal</w:t>
      </w:r>
      <w:r>
        <w:t xml:space="preserve"> </w:t>
      </w:r>
      <w:r>
        <w:rPr>
          <w:b/>
          <w:bCs/>
        </w:rPr>
        <w:t xml:space="preserve">no later than 12:00 p.m. US Eastern Time on the immediately preceding Monday</w:t>
      </w:r>
      <w:r>
        <w:t xml:space="preserve"> </w:t>
      </w:r>
      <w:r>
        <w:t xml:space="preserve">(the</w:t>
      </w:r>
      <w:r>
        <w:t xml:space="preserve"> </w:t>
      </w:r>
      <w:r>
        <w:t xml:space="preserve">“</w:t>
      </w:r>
      <w:r>
        <w:rPr>
          <w:b/>
          <w:bCs/>
        </w:rPr>
        <w:t xml:space="preserve">Order Cut-Off</w:t>
      </w:r>
      <w:r>
        <w:t xml:space="preserve">”</w:t>
      </w:r>
      <w:r>
        <w:t xml:space="preserve">).</w:t>
      </w:r>
    </w:p>
    <w:p>
      <w:pPr>
        <w:numPr>
          <w:ilvl w:val="0"/>
          <w:numId w:val="1005"/>
        </w:numPr>
      </w:pPr>
      <w:r>
        <w:t xml:space="preserve">Purchase Orders received after the Order Cut-Off, and Purchase Orders that are incomplete, non-conforming, or subject to a credit hold under Section 10.6, roll to the next available Ship Day.</w:t>
      </w:r>
    </w:p>
    <w:p>
      <w:pPr>
        <w:numPr>
          <w:ilvl w:val="0"/>
          <w:numId w:val="1005"/>
        </w:numPr>
      </w:pPr>
      <w:r>
        <w:t xml:space="preserve">Where a Ship Day falls on a US federal holiday, or where MADE’s facility is closed, MADE shall notify Distributor of the substitute Ship Day (or that there will be no shipment that week) as far in advance as reasonably practicable.</w:t>
      </w:r>
    </w:p>
    <w:p>
      <w:pPr>
        <w:numPr>
          <w:ilvl w:val="0"/>
          <w:numId w:val="1005"/>
        </w:numPr>
      </w:pPr>
      <w:r>
        <w:t xml:space="preserve">MADE may from time to time publish a shipping calendar identifying planned non-shipping weeks (including scheduled facility shutdowns and maintenance periods), and shall use reasonable efforts to give at least</w:t>
      </w:r>
      <w:r>
        <w:t xml:space="preserve"> </w:t>
      </w:r>
      <w:r>
        <w:rPr>
          <w:rStyle w:val="VerbatimChar"/>
        </w:rPr>
        <w:t xml:space="preserve">[thirty (30)]</w:t>
      </w:r>
      <w:r>
        <w:t xml:space="preserve"> </w:t>
      </w:r>
      <w:r>
        <w:t xml:space="preserve">days’ notice of any such week.</w:t>
      </w:r>
    </w:p>
    <w:p>
      <w:pPr>
        <w:pStyle w:val="FirstParagraph"/>
      </w:pPr>
      <w:r>
        <w:rPr>
          <w:b/>
          <w:bCs/>
        </w:rPr>
        <w:t xml:space="preserve">6.4 Lead Time.</w:t>
      </w:r>
      <w:r>
        <w:t xml:space="preserve"> </w:t>
      </w:r>
      <w:r>
        <w:t xml:space="preserve">Indicative lead times are set out in Schedule E.</w:t>
      </w:r>
      <w:r>
        <w:t xml:space="preserve"> </w:t>
      </w:r>
      <w:r>
        <w:rPr>
          <w:b/>
          <w:bCs/>
        </w:rPr>
        <w:t xml:space="preserve">All ship and delivery dates are estimates only. Time is not of the essence.</w:t>
      </w:r>
      <w:r>
        <w:t xml:space="preserve"> </w:t>
      </w:r>
      <w:r>
        <w:t xml:space="preserve">MADE does not guarantee any delivery date and shall have no liability for late shipment or delivery, save as expressly provided in Section 16.</w:t>
      </w:r>
    </w:p>
    <w:p>
      <w:pPr>
        <w:pStyle w:val="BodyText"/>
      </w:pPr>
      <w:r>
        <w:rPr>
          <w:b/>
          <w:bCs/>
        </w:rPr>
        <w:t xml:space="preserve">6.5 Cancellation.</w:t>
      </w:r>
      <w:r>
        <w:t xml:space="preserve"> </w:t>
      </w:r>
      <w:r>
        <w:t xml:space="preserve">An accepted Purchase Order is non-cancellable and non-reschedulable by Distributor within</w:t>
      </w:r>
      <w:r>
        <w:t xml:space="preserve"> </w:t>
      </w:r>
      <w:r>
        <w:rPr>
          <w:rStyle w:val="VerbatimChar"/>
        </w:rPr>
        <w:t xml:space="preserve">[fourteen (14)]</w:t>
      </w:r>
      <w:r>
        <w:t xml:space="preserve"> </w:t>
      </w:r>
      <w:r>
        <w:t xml:space="preserve">days of the scheduled Ship Day. Cancellation outside that window requires MADE’s written consent and, for Custom Products and Custom Configurations, is not permitted once manufacture has commenced.</w:t>
      </w:r>
    </w:p>
    <w:p>
      <w:pPr>
        <w:pStyle w:val="BodyText"/>
      </w:pPr>
      <w:r>
        <w:rPr>
          <w:b/>
          <w:bCs/>
        </w:rPr>
        <w:t xml:space="preserve">6.6 Conflicting Terms.</w:t>
      </w:r>
      <w:r>
        <w:t xml:space="preserve"> </w:t>
      </w:r>
      <w:r>
        <w:t xml:space="preserve">This Agreement governs all sales of Products.</w:t>
      </w:r>
      <w:r>
        <w:t xml:space="preserve"> </w:t>
      </w:r>
      <w:r>
        <w:rPr>
          <w:b/>
          <w:bCs/>
        </w:rPr>
        <w:t xml:space="preserve">Any additional, different, or conflicting term in any Purchase Order, acknowledgement, invoice, portal click-through, or other document of either Party is expressly rejected and of no effect</w:t>
      </w:r>
      <w:r>
        <w:t xml:space="preserve">, whether or not it materially alters this Agreement, and notwithstanding any acceptance of, or payment for, Products.</w:t>
      </w:r>
    </w:p>
    <w:p>
      <w:r>
        <w:pict>
          <v:rect style="width:0;height:1.5pt" o:hralign="center" o:hrstd="t" o:hr="t"/>
        </w:pict>
      </w:r>
    </w:p>
    <w:bookmarkEnd w:id="19"/>
    <w:bookmarkStart w:id="20" w:name="X018d48d3b3a8b54e8e1475ebe7a52c33aa166a5"/>
    <w:p>
      <w:pPr>
        <w:pStyle w:val="Heading1"/>
      </w:pPr>
      <w:r>
        <w:t xml:space="preserve">7. PRICES; PRICE CHANGES; ACCOUNT-BY-ACCOUNT PRICING</w:t>
      </w:r>
    </w:p>
    <w:p>
      <w:pPr>
        <w:pStyle w:val="FirstParagraph"/>
      </w:pPr>
      <w:r>
        <w:rPr>
          <w:b/>
          <w:bCs/>
        </w:rPr>
        <w:t xml:space="preserve">7.1 Prices.</w:t>
      </w:r>
      <w:r>
        <w:t xml:space="preserve"> </w:t>
      </w:r>
      <w:r>
        <w:t xml:space="preserve">Prices for Products are set out in Schedule C and are stated in</w:t>
      </w:r>
      <w:r>
        <w:t xml:space="preserve"> </w:t>
      </w:r>
      <w:r>
        <w:rPr>
          <w:rStyle w:val="VerbatimChar"/>
        </w:rPr>
        <w:t xml:space="preserve">[US Dollars]</w:t>
      </w:r>
      <w:r>
        <w:t xml:space="preserve">,</w:t>
      </w:r>
      <w:r>
        <w:t xml:space="preserve"> </w:t>
      </w:r>
      <w:r>
        <w:rPr>
          <w:rStyle w:val="VerbatimChar"/>
        </w:rPr>
        <w:t xml:space="preserve">[FCA MADE Facility, Princeton, New Jersey, Incoterms® 2020]</w:t>
      </w:r>
      <w:r>
        <w:t xml:space="preserve">, exclusive of freight, insurance, duties, and Taxes.</w:t>
      </w:r>
    </w:p>
    <w:p>
      <w:pPr>
        <w:pStyle w:val="BodyText"/>
      </w:pPr>
      <w:r>
        <w:rPr>
          <w:b/>
          <w:bCs/>
        </w:rPr>
        <w:t xml:space="preserve">7.2 Distributor-Specific Pricing.</w:t>
      </w:r>
      <w:r>
        <w:t xml:space="preserve"> </w:t>
      </w:r>
      <w:r>
        <w:t xml:space="preserve">MADE may establish and revise separate price lists for different distributors and different territories. Prices, discounts, and terms reflect differences in territory, order volume, logistics, regulatory and service functions performed by the distributor, market conditions, and the cost of manufacture, sale, and delivery, and/or are extended in good faith to meet an equally low price of a competitor.</w:t>
      </w:r>
      <w:r>
        <w:t xml:space="preserve"> </w:t>
      </w:r>
      <w:r>
        <w:rPr>
          <w:b/>
          <w:bCs/>
        </w:rPr>
        <w:t xml:space="preserve">Nothing in this Agreement entitles Distributor to the prices, discounts, or terms offered to any other distributor</w:t>
      </w:r>
      <w:r>
        <w:t xml:space="preserve">, and Distributor shall have no most-favoured-nation or most-favoured-customer right.</w:t>
      </w:r>
    </w:p>
    <w:p>
      <w:pPr>
        <w:pStyle w:val="BodyText"/>
      </w:pPr>
      <w:r>
        <w:rPr>
          <w:b/>
          <w:bCs/>
        </w:rPr>
        <w:t xml:space="preserve">7.3 Price Changes.</w:t>
      </w:r>
      <w:r>
        <w:t xml:space="preserve"> </w:t>
      </w:r>
      <w:r>
        <w:t xml:space="preserve">MADE may change prices on</w:t>
      </w:r>
      <w:r>
        <w:t xml:space="preserve"> </w:t>
      </w:r>
      <w:r>
        <w:rPr>
          <w:b/>
          <w:bCs/>
        </w:rPr>
        <w:t xml:space="preserve">sixty (60) days’</w:t>
      </w:r>
      <w:r>
        <w:t xml:space="preserve"> </w:t>
      </w:r>
      <w:r>
        <w:t xml:space="preserve">prior written notice. A price increase shall not apply to Purchase Orders accepted before the effective date of the increase and scheduled to ship within</w:t>
      </w:r>
      <w:r>
        <w:t xml:space="preserve"> </w:t>
      </w:r>
      <w:r>
        <w:rPr>
          <w:rStyle w:val="VerbatimChar"/>
        </w:rPr>
        <w:t xml:space="preserve">[sixty (60)]</w:t>
      </w:r>
      <w:r>
        <w:t xml:space="preserve"> </w:t>
      </w:r>
      <w:r>
        <w:t xml:space="preserve">days after it.</w:t>
      </w:r>
    </w:p>
    <w:p>
      <w:pPr>
        <w:pStyle w:val="BodyText"/>
      </w:pPr>
      <w:r>
        <w:rPr>
          <w:b/>
          <w:bCs/>
        </w:rPr>
        <w:t xml:space="preserve">7.4 Account-by-Account Pricing.</w:t>
      </w:r>
      <w:r>
        <w:t xml:space="preserve"> </w:t>
      </w:r>
      <w:r>
        <w:t xml:space="preserve">For a specified large-volume opportunity, MADE and Distributor may agree special pricing on an account-by-account basis. Any such pricing (a) is extended to enable Distributor to meet a specific competitive offer, and/or reflects the volume and cost characteristics of that account; (b) is limited to the identified account and opportunity; (c) creates no entitlement in respect of any other account, distributor, or future period; and (d) shall be recorded in writing, together with the volume, cost, or competitive basis for it, at the time it is agreed.</w:t>
      </w:r>
    </w:p>
    <w:p>
      <w:r>
        <w:pict>
          <v:rect style="width:0;height:1.5pt" o:hralign="center" o:hrstd="t" o:hr="t"/>
        </w:pict>
      </w:r>
    </w:p>
    <w:bookmarkEnd w:id="20"/>
    <w:bookmarkStart w:id="21" w:name="resale-pricing-freedom"/>
    <w:p>
      <w:pPr>
        <w:pStyle w:val="Heading1"/>
      </w:pPr>
      <w:r>
        <w:t xml:space="preserve">8. RESALE PRICING FREEDOM</w:t>
      </w:r>
    </w:p>
    <w:p>
      <w:pPr>
        <w:pStyle w:val="FirstParagraph"/>
      </w:pPr>
      <w:r>
        <w:rPr>
          <w:b/>
          <w:bCs/>
        </w:rPr>
        <w:t xml:space="preserve">8.1 No Resale Price Maintenance.</w:t>
      </w:r>
      <w:r>
        <w:t xml:space="preserve"> </w:t>
      </w:r>
      <w:r>
        <w:t xml:space="preserve">MADE may publish</w:t>
      </w:r>
      <w:r>
        <w:t xml:space="preserve"> </w:t>
      </w:r>
      <w:r>
        <w:rPr>
          <w:b/>
          <w:bCs/>
        </w:rPr>
        <w:t xml:space="preserve">suggested or recommended</w:t>
      </w:r>
      <w:r>
        <w:t xml:space="preserve"> </w:t>
      </w:r>
      <w:r>
        <w:t xml:space="preserve">resale prices for guidance only.</w:t>
      </w:r>
      <w:r>
        <w:t xml:space="preserve"> </w:t>
      </w:r>
      <w:r>
        <w:rPr>
          <w:b/>
          <w:bCs/>
        </w:rPr>
        <w:t xml:space="preserve">Distributor is entirely free to determine its own resale prices.</w:t>
      </w:r>
      <w:r>
        <w:t xml:space="preserve"> </w:t>
      </w:r>
      <w:r>
        <w:t xml:space="preserve">Nothing in this Agreement establishes, requires, induces, or shall be construed as an agreement or understanding as to any minimum resale price, and MADE shall not condition supply, pricing, discounts, samples, or any incentive on Distributor’s adherence to any resale price.</w:t>
      </w:r>
    </w:p>
    <w:p>
      <w:pPr>
        <w:pStyle w:val="BodyText"/>
      </w:pPr>
      <w:r>
        <w:rPr>
          <w:b/>
          <w:bCs/>
        </w:rPr>
        <w:t xml:space="preserve">8.2 Separate Policies.</w:t>
      </w:r>
      <w:r>
        <w:t xml:space="preserve"> </w:t>
      </w:r>
      <w:r>
        <w:t xml:space="preserve">Any minimum-advertised-price or advertising-support policy MADE adopts is a separate, unilateral policy of MADE, is not an agreement with Distributor, and is administered by MADE without negotiation.</w:t>
      </w:r>
    </w:p>
    <w:p>
      <w:r>
        <w:pict>
          <v:rect style="width:0;height:1.5pt" o:hralign="center" o:hrstd="t" o:hr="t"/>
        </w:pict>
      </w:r>
    </w:p>
    <w:bookmarkEnd w:id="21"/>
    <w:bookmarkStart w:id="22" w:name="volume-incentive-future-product-credit"/>
    <w:p>
      <w:pPr>
        <w:pStyle w:val="Heading1"/>
      </w:pPr>
      <w:r>
        <w:t xml:space="preserve">9. VOLUME INCENTIVE — FUTURE PRODUCT CREDIT</w:t>
      </w:r>
    </w:p>
    <w:p>
      <w:pPr>
        <w:pStyle w:val="FirstParagraph"/>
      </w:pPr>
      <w:r>
        <w:rPr>
          <w:b/>
          <w:bCs/>
        </w:rPr>
        <w:t xml:space="preserve">9.1 Earning.</w:t>
      </w:r>
      <w:r>
        <w:t xml:space="preserve"> </w:t>
      </w:r>
      <w:r>
        <w:t xml:space="preserve">For each calendar year during the Term, Distributor may earn a volume incentive (the</w:t>
      </w:r>
      <w:r>
        <w:t xml:space="preserve"> </w:t>
      </w:r>
      <w:r>
        <w:t xml:space="preserve">“</w:t>
      </w:r>
      <w:r>
        <w:rPr>
          <w:b/>
          <w:bCs/>
        </w:rPr>
        <w:t xml:space="preserve">Product Credit</w:t>
      </w:r>
      <w:r>
        <w:t xml:space="preserve">”</w:t>
      </w:r>
      <w:r>
        <w:t xml:space="preserve">) calculated as:</w:t>
      </w:r>
    </w:p>
    <w:p>
      <w:pPr>
        <w:pStyle w:val="BlockText"/>
      </w:pPr>
      <w:r>
        <w:rPr>
          <w:b/>
          <w:bCs/>
        </w:rPr>
        <w:t xml:space="preserve">Product Credit = (Qualifying Units purchased in the calendar year</w:t>
      </w:r>
      <w:r>
        <w:rPr>
          <w:b/>
          <w:bCs/>
        </w:rPr>
        <w:t xml:space="preserve"> </w:t>
      </w:r>
      <w:r>
        <w:rPr>
          <w:b/>
          <w:bCs/>
          <w:i/>
          <w:iCs/>
        </w:rPr>
        <w:t xml:space="preserve">in excess of</w:t>
      </w:r>
      <w:r>
        <w:rPr>
          <w:b/>
          <w:bCs/>
        </w:rPr>
        <w:t xml:space="preserve"> </w:t>
      </w:r>
      <w:r>
        <w:rPr>
          <w:b/>
          <w:bCs/>
        </w:rPr>
        <w:t xml:space="preserve">the Baseline Threshold) × (the Credit Rate per unit)</w:t>
      </w:r>
    </w:p>
    <w:p>
      <w:pPr>
        <w:pStyle w:val="FirstParagraph"/>
      </w:pPr>
      <w:r>
        <w:t xml:space="preserve">where the Baseline Threshold and Credit Rate for each Product are set out in Schedule D.</w:t>
      </w:r>
    </w:p>
    <w:p>
      <w:pPr>
        <w:pStyle w:val="BodyText"/>
      </w:pPr>
      <w:r>
        <w:rPr>
          <w:b/>
          <w:bCs/>
        </w:rPr>
        <w:t xml:space="preserve">9.2 Prospective and Incremental.</w:t>
      </w:r>
      <w:r>
        <w:t xml:space="preserve"> </w:t>
      </w:r>
      <w:r>
        <w:t xml:space="preserve">The Product Credit is earned</w:t>
      </w:r>
      <w:r>
        <w:t xml:space="preserve"> </w:t>
      </w:r>
      <w:r>
        <w:rPr>
          <w:b/>
          <w:bCs/>
        </w:rPr>
        <w:t xml:space="preserve">only on incremental Qualifying Units above the Baseline Threshold</w:t>
      </w:r>
      <w:r>
        <w:t xml:space="preserve">. It is prospective, does not retroactively reprice units at or below the Baseline Threshold, and is offered on the same terms to all similarly situated distributors.</w:t>
      </w:r>
    </w:p>
    <w:p>
      <w:pPr>
        <w:pStyle w:val="BodyText"/>
      </w:pPr>
      <w:r>
        <w:rPr>
          <w:b/>
          <w:bCs/>
        </w:rPr>
        <w:t xml:space="preserve">9.3 Qualifying Units.</w:t>
      </w:r>
      <w:r>
        <w:t xml:space="preserve"> </w:t>
      </w:r>
      <w:r>
        <w:t xml:space="preserve">Qualifying Units are units of Product invoiced and</w:t>
      </w:r>
      <w:r>
        <w:t xml:space="preserve"> </w:t>
      </w:r>
      <w:r>
        <w:rPr>
          <w:b/>
          <w:bCs/>
        </w:rPr>
        <w:t xml:space="preserve">paid for in full</w:t>
      </w:r>
      <w:r>
        <w:t xml:space="preserve"> </w:t>
      </w:r>
      <w:r>
        <w:t xml:space="preserve">during the calendar year, excluding samples, units supplied under Product Credit redemption, cancelled or returned units, and units subject to a credit note.</w:t>
      </w:r>
    </w:p>
    <w:p>
      <w:pPr>
        <w:pStyle w:val="BodyText"/>
      </w:pPr>
      <w:r>
        <w:rPr>
          <w:b/>
          <w:bCs/>
        </w:rPr>
        <w:t xml:space="preserve">9.4 Reconciliation and Issue.</w:t>
      </w:r>
      <w:r>
        <w:t xml:space="preserve"> </w:t>
      </w:r>
      <w:r>
        <w:t xml:space="preserve">Within</w:t>
      </w:r>
      <w:r>
        <w:t xml:space="preserve"> </w:t>
      </w:r>
      <w:r>
        <w:rPr>
          <w:rStyle w:val="VerbatimChar"/>
        </w:rPr>
        <w:t xml:space="preserve">[sixty (60)]</w:t>
      </w:r>
      <w:r>
        <w:t xml:space="preserve"> </w:t>
      </w:r>
      <w:r>
        <w:t xml:space="preserve">days after the end of each calendar year, MADE shall reconcile Qualifying Units and issue a statement of the Product Credit earned. The Product Credit is issued as a</w:t>
      </w:r>
      <w:r>
        <w:t xml:space="preserve"> </w:t>
      </w:r>
      <w:r>
        <w:rPr>
          <w:b/>
          <w:bCs/>
        </w:rPr>
        <w:t xml:space="preserve">credit against future purchases of Products only</w:t>
      </w:r>
      <w:r>
        <w:t xml:space="preserve">.</w:t>
      </w:r>
    </w:p>
    <w:p>
      <w:pPr>
        <w:pStyle w:val="BodyText"/>
      </w:pPr>
      <w:r>
        <w:rPr>
          <w:b/>
          <w:bCs/>
        </w:rPr>
        <w:t xml:space="preserve">9.5 Conditions.</w:t>
      </w:r>
      <w:r>
        <w:t xml:space="preserve"> </w:t>
      </w:r>
      <w:r>
        <w:t xml:space="preserve">The Product Credit (a) has no cash value and is</w:t>
      </w:r>
      <w:r>
        <w:t xml:space="preserve"> </w:t>
      </w:r>
      <w:r>
        <w:rPr>
          <w:b/>
          <w:bCs/>
        </w:rPr>
        <w:t xml:space="preserve">not redeemable for cash, set-off against any other liability, or transferable or assignable</w:t>
      </w:r>
      <w:r>
        <w:t xml:space="preserve">; (b) expires if not redeemed within</w:t>
      </w:r>
      <w:r>
        <w:t xml:space="preserve"> </w:t>
      </w:r>
      <w:r>
        <w:rPr>
          <w:rStyle w:val="VerbatimChar"/>
        </w:rPr>
        <w:t xml:space="preserve">[twelve (12)]</w:t>
      </w:r>
      <w:r>
        <w:t xml:space="preserve"> </w:t>
      </w:r>
      <w:r>
        <w:t xml:space="preserve">months of issue; (c) is forfeited in full if, at the reconciliation date, Distributor is in material breach, is subject to an unremedied credit hold, or has any invoice more than</w:t>
      </w:r>
      <w:r>
        <w:t xml:space="preserve"> </w:t>
      </w:r>
      <w:r>
        <w:rPr>
          <w:rStyle w:val="VerbatimChar"/>
        </w:rPr>
        <w:t xml:space="preserve">[sixty (60)]</w:t>
      </w:r>
      <w:r>
        <w:t xml:space="preserve"> </w:t>
      </w:r>
      <w:r>
        <w:t xml:space="preserve">days overdue; and (d) is forfeited on termination of this Agreement for cause under Section 38.2 or 38.4.</w:t>
      </w:r>
    </w:p>
    <w:p>
      <w:pPr>
        <w:pStyle w:val="BodyText"/>
      </w:pPr>
      <w:r>
        <w:rPr>
          <w:b/>
          <w:bCs/>
        </w:rPr>
        <w:t xml:space="preserve">9.6 Transparency.</w:t>
      </w:r>
      <w:r>
        <w:t xml:space="preserve"> </w:t>
      </w:r>
      <w:r>
        <w:t xml:space="preserve">The Product Credit is fixed in accordance with Schedule D, is disclosed at the time of sale, and shall be reflected on a statement referencing the underlying purchases. Where any Product becomes reimbursable by a federal or state health care program, Distributor shall fully and accurately report the discount to that program on request and retain supporting documentation, consistent with the discount safe harbor at 42 CFR § 1001.952(h). The Product Credit shall not be provided as cash, as a marketing allowance, or in any form capable of funding an improper payment.</w:t>
      </w:r>
    </w:p>
    <w:p>
      <w:r>
        <w:pict>
          <v:rect style="width:0;height:1.5pt" o:hralign="center" o:hrstd="t" o:hr="t"/>
        </w:pict>
      </w:r>
    </w:p>
    <w:bookmarkEnd w:id="22"/>
    <w:bookmarkStart w:id="23" w:name="invoicing-payment-credit"/>
    <w:p>
      <w:pPr>
        <w:pStyle w:val="Heading1"/>
      </w:pPr>
      <w:r>
        <w:t xml:space="preserve">10. INVOICING; PAYMENT; CREDIT</w:t>
      </w:r>
    </w:p>
    <w:p>
      <w:pPr>
        <w:pStyle w:val="FirstParagraph"/>
      </w:pPr>
      <w:r>
        <w:rPr>
          <w:b/>
          <w:bCs/>
        </w:rPr>
        <w:t xml:space="preserve">10.1 Invoicing.</w:t>
      </w:r>
      <w:r>
        <w:t xml:space="preserve"> </w:t>
      </w:r>
      <w:r>
        <w:t xml:space="preserve">MADE shall invoice Distributor</w:t>
      </w:r>
      <w:r>
        <w:t xml:space="preserve"> </w:t>
      </w:r>
      <w:r>
        <w:rPr>
          <w:b/>
          <w:bCs/>
        </w:rPr>
        <w:t xml:space="preserve">monthly in arrears</w:t>
      </w:r>
      <w:r>
        <w:t xml:space="preserve"> </w:t>
      </w:r>
      <w:r>
        <w:t xml:space="preserve">for all Products shipped, Drop-Ship Service fees, freight, and Taxes in the preceding month.</w:t>
      </w:r>
    </w:p>
    <w:p>
      <w:pPr>
        <w:pStyle w:val="BodyText"/>
      </w:pPr>
      <w:r>
        <w:rPr>
          <w:b/>
          <w:bCs/>
        </w:rPr>
        <w:t xml:space="preserve">10.2 Payment Terms.</w:t>
      </w:r>
      <w:r>
        <w:t xml:space="preserve"> </w:t>
      </w:r>
      <w:r>
        <w:t xml:space="preserve">Distributor shall pay each invoice in full, in</w:t>
      </w:r>
      <w:r>
        <w:t xml:space="preserve"> </w:t>
      </w:r>
      <w:r>
        <w:rPr>
          <w:rStyle w:val="VerbatimChar"/>
        </w:rPr>
        <w:t xml:space="preserve">[US Dollars]</w:t>
      </w:r>
      <w:r>
        <w:t xml:space="preserve">, in immediately available funds,</w:t>
      </w:r>
      <w:r>
        <w:t xml:space="preserve"> </w:t>
      </w:r>
      <w:r>
        <w:rPr>
          <w:b/>
          <w:bCs/>
        </w:rPr>
        <w:t xml:space="preserve">within thirty (30) days of the invoice date</w:t>
      </w:r>
      <w:r>
        <w:t xml:space="preserve"> </w:t>
      </w:r>
      <w:r>
        <w:t xml:space="preserve">(</w:t>
      </w:r>
      <w:r>
        <w:t xml:space="preserve">“</w:t>
      </w:r>
      <w:r>
        <w:rPr>
          <w:b/>
          <w:bCs/>
        </w:rPr>
        <w:t xml:space="preserve">Net 30</w:t>
      </w:r>
      <w:r>
        <w:t xml:space="preserve">”</w:t>
      </w:r>
      <w:r>
        <w:t xml:space="preserve">), without set-off, deduction, counterclaim, or withholding.</w:t>
      </w:r>
    </w:p>
    <w:p>
      <w:pPr>
        <w:pStyle w:val="BodyText"/>
      </w:pPr>
      <w:r>
        <w:rPr>
          <w:b/>
          <w:bCs/>
        </w:rPr>
        <w:t xml:space="preserve">10.3 Payment Methods.</w:t>
      </w:r>
      <w:r>
        <w:t xml:space="preserve"> </w:t>
      </w:r>
      <w:r>
        <w:t xml:space="preserve">MADE accepts payment by</w:t>
      </w:r>
      <w:r>
        <w:t xml:space="preserve"> </w:t>
      </w:r>
      <w:r>
        <w:rPr>
          <w:b/>
          <w:bCs/>
        </w:rPr>
        <w:t xml:space="preserve">check</w:t>
      </w:r>
      <w:r>
        <w:t xml:space="preserve"> </w:t>
      </w:r>
      <w:r>
        <w:t xml:space="preserve">and by</w:t>
      </w:r>
      <w:r>
        <w:t xml:space="preserve"> </w:t>
      </w:r>
      <w:r>
        <w:rPr>
          <w:b/>
          <w:bCs/>
        </w:rPr>
        <w:t xml:space="preserve">wire transfer</w:t>
      </w:r>
      <w:r>
        <w:t xml:space="preserve"> </w:t>
      </w:r>
      <w:r>
        <w:t xml:space="preserve">to the account MADE designates in writing. Distributor bears all bank charges.</w:t>
      </w:r>
      <w:r>
        <w:t xml:space="preserve"> </w:t>
      </w:r>
      <w:r>
        <w:rPr>
          <w:b/>
          <w:bCs/>
        </w:rPr>
        <w:t xml:space="preserve">MADE will never advise a change of bank details by email alone; Distributor shall verify any purported change by telephone with a known MADE contact before remitting.</w:t>
      </w:r>
    </w:p>
    <w:p>
      <w:pPr>
        <w:pStyle w:val="BodyText"/>
      </w:pPr>
      <w:r>
        <w:rPr>
          <w:b/>
          <w:bCs/>
        </w:rPr>
        <w:t xml:space="preserve">10.4 Late Payment.</w:t>
      </w:r>
      <w:r>
        <w:t xml:space="preserve"> </w:t>
      </w:r>
      <w:r>
        <w:t xml:space="preserve">Overdue amounts bear interest from the due date until paid at the lesser of</w:t>
      </w:r>
      <w:r>
        <w:t xml:space="preserve"> </w:t>
      </w:r>
      <w:r>
        <w:rPr>
          <w:b/>
          <w:bCs/>
        </w:rPr>
        <w:t xml:space="preserve">one and one-half percent (1.5%) per month</w:t>
      </w:r>
      <w:r>
        <w:t xml:space="preserve"> </w:t>
      </w:r>
      <w:r>
        <w:t xml:space="preserve">and the maximum rate permitted by Applicable Law, compounded monthly. Distributor shall reimburse MADE’s reasonable costs of collection, including legal fees.</w:t>
      </w:r>
    </w:p>
    <w:p>
      <w:pPr>
        <w:pStyle w:val="BodyText"/>
      </w:pPr>
      <w:r>
        <w:rPr>
          <w:b/>
          <w:bCs/>
        </w:rPr>
        <w:t xml:space="preserve">10.5 Disputed Invoices.</w:t>
      </w:r>
      <w:r>
        <w:t xml:space="preserve"> </w:t>
      </w:r>
      <w:r>
        <w:t xml:space="preserve">Distributor shall notify MADE of any good-faith dispute within</w:t>
      </w:r>
      <w:r>
        <w:t xml:space="preserve"> </w:t>
      </w:r>
      <w:r>
        <w:rPr>
          <w:rStyle w:val="VerbatimChar"/>
        </w:rPr>
        <w:t xml:space="preserve">[fifteen (15)]</w:t>
      </w:r>
      <w:r>
        <w:t xml:space="preserve"> </w:t>
      </w:r>
      <w:r>
        <w:t xml:space="preserve">days of the invoice date, specifying the disputed amount and the basis. Distributor shall pay all undisputed amounts when due. Amounts not disputed within that period are deemed accepted.</w:t>
      </w:r>
    </w:p>
    <w:p>
      <w:pPr>
        <w:pStyle w:val="BodyText"/>
      </w:pPr>
      <w:r>
        <w:rPr>
          <w:b/>
          <w:bCs/>
        </w:rPr>
        <w:t xml:space="preserve">10.6 Credit; Suspension; Stop-Ship.</w:t>
      </w:r>
      <w:r>
        <w:t xml:space="preserve"> </w:t>
      </w:r>
      <w:r>
        <w:t xml:space="preserve">MADE may establish, review, and revise a credit limit for Distributor. MADE may, without liability and without notice where an invoice is overdue: (a) suspend acceptance of Purchase Orders; (b) withhold or stop shipment of Products, including Products in transit; (c) require payment in advance, a letter of credit, or other security; and (d) suspend access to the Portal, the Database, and the sampling programme. Suspension under this Section does not relieve Distributor of any Minimum Purchase Commitment.</w:t>
      </w:r>
    </w:p>
    <w:p>
      <w:pPr>
        <w:pStyle w:val="BodyText"/>
      </w:pPr>
      <w:r>
        <w:rPr>
          <w:b/>
          <w:bCs/>
        </w:rPr>
        <w:t xml:space="preserve">10.7 Retention of Title.</w:t>
      </w:r>
      <w:r>
        <w:t xml:space="preserve"> </w:t>
      </w:r>
      <w:r>
        <w:t xml:space="preserve">Notwithstanding passage of risk under Section 12,</w:t>
      </w:r>
      <w:r>
        <w:t xml:space="preserve"> </w:t>
      </w:r>
      <w:r>
        <w:rPr>
          <w:b/>
          <w:bCs/>
        </w:rPr>
        <w:t xml:space="preserve">title to each unit of Product remains with MADE until MADE has received payment in full</w:t>
      </w:r>
      <w:r>
        <w:t xml:space="preserve"> </w:t>
      </w:r>
      <w:r>
        <w:t xml:space="preserve">for that unit and all other amounts then due from Distributor. Until title passes, Distributor shall hold the Products as bailee, store them separately and identifiably, and not encumber them. MADE reserves a purchase-money security interest in the Products and their proceeds, and Distributor authorises MADE to file such financing statements as MADE deems necessary. This Section 10.7 does not affect the passing of risk under Section 12.2.</w:t>
      </w:r>
    </w:p>
    <w:p>
      <w:r>
        <w:pict>
          <v:rect style="width:0;height:1.5pt" o:hralign="center" o:hrstd="t" o:hr="t"/>
        </w:pict>
      </w:r>
    </w:p>
    <w:bookmarkEnd w:id="23"/>
    <w:bookmarkStart w:id="24" w:name="taxes"/>
    <w:p>
      <w:pPr>
        <w:pStyle w:val="Heading1"/>
      </w:pPr>
      <w:r>
        <w:t xml:space="preserve">11. TAXES</w:t>
      </w:r>
    </w:p>
    <w:p>
      <w:pPr>
        <w:pStyle w:val="FirstParagraph"/>
      </w:pPr>
      <w:r>
        <w:rPr>
          <w:b/>
          <w:bCs/>
        </w:rPr>
        <w:t xml:space="preserve">11.1 Exclusive of Taxes.</w:t>
      </w:r>
      <w:r>
        <w:t xml:space="preserve"> </w:t>
      </w:r>
      <w:r>
        <w:t xml:space="preserve">Prices exclude all sales, use, value-added, goods-and-services, excise, withholding, and similar taxes and duties (</w:t>
      </w:r>
      <w:r>
        <w:t xml:space="preserve">“</w:t>
      </w:r>
      <w:r>
        <w:rPr>
          <w:b/>
          <w:bCs/>
        </w:rPr>
        <w:t xml:space="preserve">Taxes</w:t>
      </w:r>
      <w:r>
        <w:t xml:space="preserve">”</w:t>
      </w:r>
      <w:r>
        <w:t xml:space="preserve">). Distributor is responsible for all Taxes other than taxes on MADE’s net income.</w:t>
      </w:r>
    </w:p>
    <w:p>
      <w:pPr>
        <w:pStyle w:val="BodyText"/>
      </w:pPr>
      <w:r>
        <w:rPr>
          <w:b/>
          <w:bCs/>
        </w:rPr>
        <w:t xml:space="preserve">11.2 Exemption Certificates.</w:t>
      </w:r>
      <w:r>
        <w:t xml:space="preserve"> </w:t>
      </w:r>
      <w:r>
        <w:t xml:space="preserve">Distributor shall provide MADE with a valid resale or exemption certificate for each jurisdiction in which it takes delivery, and shall promptly notify MADE if any certificate ceases to be valid.</w:t>
      </w:r>
    </w:p>
    <w:p>
      <w:pPr>
        <w:pStyle w:val="BodyText"/>
      </w:pPr>
      <w:r>
        <w:rPr>
          <w:b/>
          <w:bCs/>
        </w:rPr>
        <w:t xml:space="preserve">11.3 Gross-Up.</w:t>
      </w:r>
      <w:r>
        <w:t xml:space="preserve"> </w:t>
      </w:r>
      <w:r>
        <w:t xml:space="preserve">If Distributor is required by Applicable Law to deduct or withhold any amount from a payment to MADE, it shall gross up the payment so that MADE receives the full invoiced amount, and shall promptly deliver evidence of the payment of the withheld amount to the relevant authority.</w:t>
      </w:r>
    </w:p>
    <w:p>
      <w:pPr>
        <w:pStyle w:val="BodyText"/>
      </w:pPr>
      <w:r>
        <w:rPr>
          <w:b/>
          <w:bCs/>
        </w:rPr>
        <w:t xml:space="preserve">11.4 Drop-Ship Resale Leg.</w:t>
      </w:r>
      <w:r>
        <w:t xml:space="preserve"> </w:t>
      </w:r>
      <w:r>
        <w:t xml:space="preserve">Section 13.5(b) governs Taxes on a resale made through the Drop-Ship Service.</w:t>
      </w:r>
    </w:p>
    <w:p>
      <w:r>
        <w:pict>
          <v:rect style="width:0;height:1.5pt" o:hralign="center" o:hrstd="t" o:hr="t"/>
        </w:pict>
      </w:r>
    </w:p>
    <w:bookmarkEnd w:id="24"/>
    <w:bookmarkStart w:id="25" w:name="delivery-title-risk-of-loss"/>
    <w:p>
      <w:pPr>
        <w:pStyle w:val="Heading1"/>
      </w:pPr>
      <w:r>
        <w:t xml:space="preserve">12. DELIVERY; TITLE; RISK OF LOSS</w:t>
      </w:r>
    </w:p>
    <w:p>
      <w:pPr>
        <w:pStyle w:val="FirstParagraph"/>
      </w:pPr>
      <w:r>
        <w:rPr>
          <w:b/>
          <w:bCs/>
        </w:rPr>
        <w:t xml:space="preserve">12.1 Delivery Term.</w:t>
      </w:r>
      <w:r>
        <w:t xml:space="preserve"> </w:t>
      </w:r>
      <w:r>
        <w:t xml:space="preserve">Unless Schedule E states otherwise, Products are delivered</w:t>
      </w:r>
      <w:r>
        <w:t xml:space="preserve"> </w:t>
      </w:r>
      <w:r>
        <w:rPr>
          <w:b/>
          <w:bCs/>
        </w:rPr>
        <w:t xml:space="preserve">FCA MADE’s facility, Princeton, New Jersey, USA (Incoterms® 2020)</w:t>
      </w:r>
      <w:r>
        <w:t xml:space="preserve">. Where MADE provides the Drop-Ship Service, Products are delivered</w:t>
      </w:r>
      <w:r>
        <w:t xml:space="preserve"> </w:t>
      </w:r>
      <w:r>
        <w:rPr>
          <w:b/>
          <w:bCs/>
        </w:rPr>
        <w:t xml:space="preserve">CPT</w:t>
      </w:r>
      <w:r>
        <w:rPr>
          <w:b/>
          <w:bCs/>
        </w:rPr>
        <w:t xml:space="preserve"> </w:t>
      </w:r>
      <w:r>
        <w:rPr>
          <w:rStyle w:val="VerbatimChar"/>
          <w:b/>
          <w:bCs/>
        </w:rPr>
        <w:t xml:space="preserve">[named place of destination]</w:t>
      </w:r>
      <w:r>
        <w:rPr>
          <w:b/>
          <w:bCs/>
        </w:rPr>
        <w:t xml:space="preserve"> </w:t>
      </w:r>
      <w:r>
        <w:rPr>
          <w:b/>
          <w:bCs/>
        </w:rPr>
        <w:t xml:space="preserve">(Incoterms® 2020)</w:t>
      </w:r>
      <w:r>
        <w:t xml:space="preserve">, or</w:t>
      </w:r>
      <w:r>
        <w:t xml:space="preserve"> </w:t>
      </w:r>
      <w:r>
        <w:rPr>
          <w:b/>
          <w:bCs/>
        </w:rPr>
        <w:t xml:space="preserve">CIP</w:t>
      </w:r>
      <w:r>
        <w:t xml:space="preserve"> </w:t>
      </w:r>
      <w:r>
        <w:t xml:space="preserve">where MADE expressly elects to procure insurance.</w:t>
      </w:r>
    </w:p>
    <w:p>
      <w:pPr>
        <w:pStyle w:val="BodyText"/>
      </w:pPr>
      <w:r>
        <w:rPr>
          <w:b/>
          <w:bCs/>
        </w:rPr>
        <w:t xml:space="preserve">12.2 Risk of Loss.</w:t>
      </w:r>
      <w:r>
        <w:t xml:space="preserve"> </w:t>
      </w:r>
      <w:r>
        <w:rPr>
          <w:b/>
          <w:bCs/>
        </w:rPr>
        <w:t xml:space="preserve">Risk of loss of and damage to the Products passes to Distributor upon MADE’s tender of the Products to the carrier at MADE’s facility</w:t>
      </w:r>
      <w:r>
        <w:t xml:space="preserve">, whether the carrier is nominated by Distributor, by Distributor’s customer, or by MADE, and whether or not MADE provides the Drop-Ship Service.</w:t>
      </w:r>
    </w:p>
    <w:p>
      <w:pPr>
        <w:pStyle w:val="BodyText"/>
      </w:pPr>
      <w:r>
        <w:rPr>
          <w:b/>
          <w:bCs/>
        </w:rPr>
        <w:t xml:space="preserve">12.3 Title.</w:t>
      </w:r>
      <w:r>
        <w:t xml:space="preserve"> </w:t>
      </w:r>
      <w:r>
        <w:t xml:space="preserve">Title passes as provided in Section 10.7.</w:t>
      </w:r>
      <w:r>
        <w:t xml:space="preserve"> </w:t>
      </w:r>
      <w:r>
        <w:rPr>
          <w:b/>
          <w:bCs/>
        </w:rPr>
        <w:t xml:space="preserve">Incoterms® 2020 allocate cost, risk, and clearance obligations only, and do not govern the passing of title.</w:t>
      </w:r>
    </w:p>
    <w:p>
      <w:pPr>
        <w:pStyle w:val="BodyText"/>
      </w:pPr>
      <w:r>
        <w:rPr>
          <w:b/>
          <w:bCs/>
        </w:rPr>
        <w:t xml:space="preserve">12.4 Export and Import.</w:t>
      </w:r>
      <w:r>
        <w:t xml:space="preserve"> </w:t>
      </w:r>
      <w:r>
        <w:t xml:space="preserve">MADE shall, as FCA seller, provide commercially reasonable assistance with export documentation.</w:t>
      </w:r>
      <w:r>
        <w:t xml:space="preserve"> </w:t>
      </w:r>
      <w:r>
        <w:rPr>
          <w:b/>
          <w:bCs/>
        </w:rPr>
        <w:t xml:space="preserve">Distributor is the importer of record</w:t>
      </w:r>
      <w:r>
        <w:t xml:space="preserve"> </w:t>
      </w:r>
      <w:r>
        <w:t xml:space="preserve">and is solely responsible, at its own cost, for import clearance, import permits, customs duties, destination Taxes, and any local product registration or notification.</w:t>
      </w:r>
    </w:p>
    <w:p>
      <w:pPr>
        <w:pStyle w:val="BodyText"/>
      </w:pPr>
      <w:r>
        <w:rPr>
          <w:b/>
          <w:bCs/>
        </w:rPr>
        <w:t xml:space="preserve">12.5 Partial Shipment.</w:t>
      </w:r>
      <w:r>
        <w:t xml:space="preserve"> </w:t>
      </w:r>
      <w:r>
        <w:t xml:space="preserve">MADE may deliver in instalments. Each instalment is a separate sale, and no default in respect of one instalment entitles Distributor to reject any other instalment or to terminate.</w:t>
      </w:r>
    </w:p>
    <w:p>
      <w:r>
        <w:pict>
          <v:rect style="width:0;height:1.5pt" o:hralign="center" o:hrstd="t" o:hr="t"/>
        </w:pict>
      </w:r>
    </w:p>
    <w:bookmarkEnd w:id="25"/>
    <w:bookmarkStart w:id="26" w:name="drop-ship-service"/>
    <w:p>
      <w:pPr>
        <w:pStyle w:val="Heading1"/>
      </w:pPr>
      <w:r>
        <w:t xml:space="preserve">13. DROP-SHIP SERVICE</w:t>
      </w:r>
    </w:p>
    <w:p>
      <w:pPr>
        <w:pStyle w:val="FirstParagraph"/>
      </w:pPr>
      <w:r>
        <w:rPr>
          <w:b/>
          <w:bCs/>
        </w:rPr>
        <w:t xml:space="preserve">13.1 Service.</w:t>
      </w:r>
      <w:r>
        <w:t xml:space="preserve"> </w:t>
      </w:r>
      <w:r>
        <w:t xml:space="preserve">At Distributor’s request and MADE’s discretion, MADE will ship Product directly to Distributor’s customer at the address Distributor specifies in the Portal.</w:t>
      </w:r>
    </w:p>
    <w:p>
      <w:pPr>
        <w:pStyle w:val="BodyText"/>
      </w:pPr>
      <w:r>
        <w:rPr>
          <w:b/>
          <w:bCs/>
        </w:rPr>
        <w:t xml:space="preserve">13.2 Charges.</w:t>
      </w:r>
      <w:r>
        <w:t xml:space="preserve"> </w:t>
      </w:r>
      <w:r>
        <w:t xml:space="preserve">Distributor shall pay (a) the Drop-Ship Service fee set out in Schedule E, and (b)</w:t>
      </w:r>
      <w:r>
        <w:t xml:space="preserve"> </w:t>
      </w:r>
      <w:r>
        <w:rPr>
          <w:b/>
          <w:bCs/>
        </w:rPr>
        <w:t xml:space="preserve">overnight freight, dry ice, and shipper costs at cost, passed through without markup</w:t>
      </w:r>
      <w:r>
        <w:t xml:space="preserve">, together with any accessorial and remote-area charges.</w:t>
      </w:r>
    </w:p>
    <w:p>
      <w:pPr>
        <w:pStyle w:val="BodyText"/>
      </w:pPr>
      <w:r>
        <w:rPr>
          <w:b/>
          <w:bCs/>
        </w:rPr>
        <w:t xml:space="preserve">13.3 Carrier.</w:t>
      </w:r>
      <w:r>
        <w:t xml:space="preserve"> </w:t>
      </w:r>
      <w:r>
        <w:t xml:space="preserve">Product will be shipped by the carrier Distributor or its customer nominates. If no carrier is nominated, MADE may select one.</w:t>
      </w:r>
      <w:r>
        <w:t xml:space="preserve"> </w:t>
      </w:r>
      <w:r>
        <w:rPr>
          <w:b/>
          <w:bCs/>
        </w:rPr>
        <w:t xml:space="preserve">MADE is not responsible for the acts, omissions, delays, or loss or damage caused by any carrier.</w:t>
      </w:r>
    </w:p>
    <w:p>
      <w:pPr>
        <w:pStyle w:val="BodyText"/>
      </w:pPr>
      <w:r>
        <w:rPr>
          <w:b/>
          <w:bCs/>
        </w:rPr>
        <w:t xml:space="preserve">13.4 Packaging.</w:t>
      </w:r>
      <w:r>
        <w:t xml:space="preserve"> </w:t>
      </w:r>
      <w:r>
        <w:t xml:space="preserve">Product will be packed in a validated insulated shipper on dry ice, or in a validated liquid-nitrogen vapour-phase dry shipper where the Specification requires, placed within an outer fibreboard carton, in accordance with Section 14.</w:t>
      </w:r>
    </w:p>
    <w:p>
      <w:pPr>
        <w:pStyle w:val="BodyText"/>
      </w:pPr>
      <w:r>
        <w:rPr>
          <w:b/>
          <w:bCs/>
        </w:rPr>
        <w:t xml:space="preserve">13.5 Distributor Remains Seller of Record.</w:t>
      </w:r>
      <w:r>
        <w:t xml:space="preserve"> </w:t>
      </w:r>
      <w:r>
        <w:t xml:space="preserve">Distributor purchases the Product from MADE and resells it to its customer.</w:t>
      </w:r>
      <w:r>
        <w:t xml:space="preserve"> </w:t>
      </w:r>
      <w:r>
        <w:rPr>
          <w:b/>
          <w:bCs/>
        </w:rPr>
        <w:t xml:space="preserve">Distributor is the seller of record to its customer. MADE is not in privity with, and gives no warranty, representation, or undertaking to, Distributor’s customer.</w:t>
      </w:r>
      <w:r>
        <w:t xml:space="preserve"> </w:t>
      </w:r>
      <w:r>
        <w:t xml:space="preserve">Distributor shall:</w:t>
      </w:r>
    </w:p>
    <w:p>
      <w:pPr>
        <w:numPr>
          <w:ilvl w:val="0"/>
          <w:numId w:val="1006"/>
        </w:numPr>
      </w:pPr>
      <w:r>
        <w:t xml:space="preserve">supply complete and accurate ship-to and end-customer information, and a valid resale or exemption certificate;</w:t>
      </w:r>
    </w:p>
    <w:p>
      <w:pPr>
        <w:numPr>
          <w:ilvl w:val="0"/>
          <w:numId w:val="1006"/>
        </w:numPr>
      </w:pPr>
      <w:r>
        <w:t xml:space="preserve">collect and remit all sales, use, and other Taxes on the resale, and indemnify MADE against any Tax, penalty, interest, or nexus exposure arising from the resale leg;</w:t>
      </w:r>
    </w:p>
    <w:p>
      <w:pPr>
        <w:numPr>
          <w:ilvl w:val="0"/>
          <w:numId w:val="1006"/>
        </w:numPr>
      </w:pPr>
      <w:r>
        <w:t xml:space="preserve">procure that its customer has certified the Permitted Use in accordance with Section 17.4</w:t>
      </w:r>
      <w:r>
        <w:t xml:space="preserve"> </w:t>
      </w:r>
      <w:r>
        <w:rPr>
          <w:b/>
          <w:bCs/>
        </w:rPr>
        <w:t xml:space="preserve">before</w:t>
      </w:r>
      <w:r>
        <w:t xml:space="preserve"> </w:t>
      </w:r>
      <w:r>
        <w:t xml:space="preserve">MADE is instructed to ship; and</w:t>
      </w:r>
    </w:p>
    <w:p>
      <w:pPr>
        <w:numPr>
          <w:ilvl w:val="0"/>
          <w:numId w:val="1006"/>
        </w:numPr>
      </w:pPr>
      <w:r>
        <w:t xml:space="preserve">indemnify MADE against all Losses arising from inaccurate ship-to information or from the customer’s use of the Product.</w:t>
      </w:r>
    </w:p>
    <w:p>
      <w:pPr>
        <w:pStyle w:val="FirstParagraph"/>
      </w:pPr>
      <w:r>
        <w:rPr>
          <w:b/>
          <w:bCs/>
        </w:rPr>
        <w:t xml:space="preserve">13.6 No Change to Risk.</w:t>
      </w:r>
      <w:r>
        <w:t xml:space="preserve"> </w:t>
      </w:r>
      <w:r>
        <w:t xml:space="preserve">The Drop-Ship Service does not alter Section 12.2:</w:t>
      </w:r>
      <w:r>
        <w:t xml:space="preserve"> </w:t>
      </w:r>
      <w:r>
        <w:rPr>
          <w:b/>
          <w:bCs/>
        </w:rPr>
        <w:t xml:space="preserve">risk passes to Distributor on tender to the carrier at MADE’s facility.</w:t>
      </w:r>
      <w:r>
        <w:t xml:space="preserve"> </w:t>
      </w:r>
      <w:r>
        <w:t xml:space="preserve">Distributor bears the risk of loss in transit to its customer and shall insure accordingly under Section 35.</w:t>
      </w:r>
    </w:p>
    <w:p>
      <w:pPr>
        <w:pStyle w:val="BodyText"/>
      </w:pPr>
      <w:r>
        <w:rPr>
          <w:b/>
          <w:bCs/>
        </w:rPr>
        <w:t xml:space="preserve">13.7 Neutral Shipping.</w:t>
      </w:r>
      <w:r>
        <w:t xml:space="preserve"> </w:t>
      </w:r>
      <w:r>
        <w:t xml:space="preserve">Where Schedule H provides for White Label Products, MADE shall use commercially reasonable efforts to ship in neutral outer packaging bearing no MADE Marks, without prejudice to the RUO Legend and to all dangerous-goods marking required by Section 14.</w:t>
      </w:r>
    </w:p>
    <w:p>
      <w:r>
        <w:pict>
          <v:rect style="width:0;height:1.5pt" o:hralign="center" o:hrstd="t" o:hr="t"/>
        </w:pict>
      </w:r>
    </w:p>
    <w:bookmarkEnd w:id="26"/>
    <w:bookmarkStart w:id="27" w:name="packaging-dangerous-goods"/>
    <w:p>
      <w:pPr>
        <w:pStyle w:val="Heading1"/>
      </w:pPr>
      <w:r>
        <w:t xml:space="preserve">14. PACKAGING; DANGEROUS GOODS</w:t>
      </w:r>
    </w:p>
    <w:p>
      <w:pPr>
        <w:pStyle w:val="FirstParagraph"/>
      </w:pPr>
      <w:r>
        <w:rPr>
          <w:b/>
          <w:bCs/>
        </w:rPr>
        <w:t xml:space="preserve">14.1 MADE as Shipper.</w:t>
      </w:r>
      <w:r>
        <w:t xml:space="preserve"> </w:t>
      </w:r>
      <w:r>
        <w:t xml:space="preserve">Where MADE packs and tenders a shipment, MADE shall be responsible for compliant dangerous-goods packing, marking, labelling, documentation, and air-waybill entries, and shall use personnel trained in accordance with 49 CFR § 172.700</w:t>
      </w:r>
      <w:r>
        <w:t xml:space="preserve"> </w:t>
      </w:r>
      <w:r>
        <w:rPr>
          <w:i/>
          <w:iCs/>
        </w:rPr>
        <w:t xml:space="preserve">et seq.</w:t>
      </w:r>
      <w:r>
        <w:t xml:space="preserve"> </w:t>
      </w:r>
      <w:r>
        <w:t xml:space="preserve">and the IATA Dangerous Goods Regulations.</w:t>
      </w:r>
    </w:p>
    <w:p>
      <w:pPr>
        <w:pStyle w:val="BodyText"/>
      </w:pPr>
      <w:r>
        <w:rPr>
          <w:b/>
          <w:bCs/>
        </w:rPr>
        <w:t xml:space="preserve">14.2 Dry Ice.</w:t>
      </w:r>
      <w:r>
        <w:t xml:space="preserve"> </w:t>
      </w:r>
      <w:r>
        <w:t xml:space="preserve">Distributor acknowledges that solid carbon dioxide (dry ice) is a</w:t>
      </w:r>
      <w:r>
        <w:t xml:space="preserve"> </w:t>
      </w:r>
      <w:r>
        <w:rPr>
          <w:b/>
          <w:bCs/>
        </w:rPr>
        <w:t xml:space="preserve">Class 9 dangerous good, UN1845</w:t>
      </w:r>
      <w:r>
        <w:t xml:space="preserve">, shipped under</w:t>
      </w:r>
      <w:r>
        <w:t xml:space="preserve"> </w:t>
      </w:r>
      <w:r>
        <w:rPr>
          <w:b/>
          <w:bCs/>
        </w:rPr>
        <w:t xml:space="preserve">IATA Packing Instruction 954</w:t>
      </w:r>
      <w:r>
        <w:t xml:space="preserve"> </w:t>
      </w:r>
      <w:r>
        <w:t xml:space="preserve">and 49 CFR § 173.217, and that the outer package must bear the Class 9 hazard label, the words</w:t>
      </w:r>
      <w:r>
        <w:t xml:space="preserve"> </w:t>
      </w:r>
      <w:r>
        <w:t xml:space="preserve">“Dry ice”</w:t>
      </w:r>
      <w:r>
        <w:t xml:space="preserve"> </w:t>
      </w:r>
      <w:r>
        <w:t xml:space="preserve">or</w:t>
      </w:r>
      <w:r>
        <w:t xml:space="preserve"> </w:t>
      </w:r>
      <w:r>
        <w:t xml:space="preserve">“Carbon dioxide, solid”</w:t>
      </w:r>
      <w:r>
        <w:t xml:space="preserve">, the UN number, and the net weight of dry ice.</w:t>
      </w:r>
    </w:p>
    <w:p>
      <w:pPr>
        <w:pStyle w:val="BodyText"/>
      </w:pPr>
      <w:r>
        <w:rPr>
          <w:b/>
          <w:bCs/>
        </w:rPr>
        <w:t xml:space="preserve">14.3 Dry Shippers.</w:t>
      </w:r>
      <w:r>
        <w:t xml:space="preserve"> </w:t>
      </w:r>
      <w:r>
        <w:t xml:space="preserve">Liquid-nitrogen vapour-phase dry shippers that contain no free liquid are consigned under</w:t>
      </w:r>
      <w:r>
        <w:t xml:space="preserve"> </w:t>
      </w:r>
      <w:r>
        <w:rPr>
          <w:b/>
          <w:bCs/>
        </w:rPr>
        <w:t xml:space="preserve">IATA Special Provision A152</w:t>
      </w:r>
      <w:r>
        <w:t xml:space="preserve">. Dry shippers remain the property of MADE or its logistics vendor, are supplied as a returnable asset, and shall be returned by Distributor, at Distributor’s cost and in good condition, within</w:t>
      </w:r>
      <w:r>
        <w:t xml:space="preserve"> </w:t>
      </w:r>
      <w:r>
        <w:rPr>
          <w:rStyle w:val="VerbatimChar"/>
        </w:rPr>
        <w:t xml:space="preserve">[fourteen (14)]</w:t>
      </w:r>
      <w:r>
        <w:t xml:space="preserve"> </w:t>
      </w:r>
      <w:r>
        <w:t xml:space="preserve">days of delivery. Late or non-return incurs the rental and replacement charges in Schedule E.</w:t>
      </w:r>
    </w:p>
    <w:p>
      <w:pPr>
        <w:pStyle w:val="BodyText"/>
      </w:pPr>
      <w:r>
        <w:rPr>
          <w:b/>
          <w:bCs/>
        </w:rPr>
        <w:t xml:space="preserve">14.4 Distributor as Shipper.</w:t>
      </w:r>
      <w:r>
        <w:t xml:space="preserve"> </w:t>
      </w:r>
      <w:r>
        <w:rPr>
          <w:b/>
          <w:bCs/>
        </w:rPr>
        <w:t xml:space="preserve">If Distributor repacks, re-ices, or re-ships any Product, Distributor becomes the shipper of a dangerous-goods consignment.</w:t>
      </w:r>
      <w:r>
        <w:t xml:space="preserve"> </w:t>
      </w:r>
      <w:r>
        <w:t xml:space="preserve">Distributor represents and warrants that it will do so only using personnel trained and certified to the applicable IATA/ICAO, IMDG, ADR, or 49 CFR standard, and using compliant packaging, and shall indemnify MADE against all Losses arising from Distributor’s packing, marking, documentation, or tender of any shipment.</w:t>
      </w:r>
    </w:p>
    <w:p>
      <w:pPr>
        <w:pStyle w:val="BodyText"/>
      </w:pPr>
      <w:r>
        <w:rPr>
          <w:b/>
          <w:bCs/>
        </w:rPr>
        <w:t xml:space="preserve">14.5 No Alteration.</w:t>
      </w:r>
      <w:r>
        <w:t xml:space="preserve"> </w:t>
      </w:r>
      <w:r>
        <w:t xml:space="preserve">Distributor shall not alter, obscure, remove, or replace any label, legend, lot number, expiry date, or dangerous-goods marking applied by MADE, except as expressly permitted by Schedule H.</w:t>
      </w:r>
    </w:p>
    <w:p>
      <w:r>
        <w:pict>
          <v:rect style="width:0;height:1.5pt" o:hralign="center" o:hrstd="t" o:hr="t"/>
        </w:pict>
      </w:r>
    </w:p>
    <w:bookmarkEnd w:id="27"/>
    <w:bookmarkStart w:id="28" w:name="inspection-rejection-returns"/>
    <w:p>
      <w:pPr>
        <w:pStyle w:val="Heading1"/>
      </w:pPr>
      <w:r>
        <w:t xml:space="preserve">15. INSPECTION; REJECTION; RETURNS</w:t>
      </w:r>
    </w:p>
    <w:p>
      <w:pPr>
        <w:pStyle w:val="FirstParagraph"/>
      </w:pPr>
      <w:r>
        <w:rPr>
          <w:b/>
          <w:bCs/>
        </w:rPr>
        <w:t xml:space="preserve">15.1 Inspection on Receipt.</w:t>
      </w:r>
      <w:r>
        <w:t xml:space="preserve"> </w:t>
      </w:r>
      <w:r>
        <w:t xml:space="preserve">Distributor shall inspect each shipment immediately on receipt, verify the shipment against the packing list, and</w:t>
      </w:r>
      <w:r>
        <w:t xml:space="preserve"> </w:t>
      </w:r>
      <w:r>
        <w:rPr>
          <w:b/>
          <w:bCs/>
        </w:rPr>
        <w:t xml:space="preserve">read and record the temperature logger</w:t>
      </w:r>
      <w:r>
        <w:t xml:space="preserve"> </w:t>
      </w:r>
      <w:r>
        <w:t xml:space="preserve">included in each shipper.</w:t>
      </w:r>
    </w:p>
    <w:p>
      <w:pPr>
        <w:pStyle w:val="BodyText"/>
      </w:pPr>
      <w:r>
        <w:rPr>
          <w:b/>
          <w:bCs/>
        </w:rPr>
        <w:t xml:space="preserve">15.2 Notice of Non-Conformity.</w:t>
      </w:r>
    </w:p>
    <w:p>
      <w:pPr>
        <w:numPr>
          <w:ilvl w:val="0"/>
          <w:numId w:val="1007"/>
        </w:numPr>
      </w:pPr>
      <w:r>
        <w:rPr>
          <w:b/>
          <w:bCs/>
        </w:rPr>
        <w:t xml:space="preserve">Visible damage, packaging breach, temperature excursion, or logger alarm:</w:t>
      </w:r>
      <w:r>
        <w:t xml:space="preserve"> </w:t>
      </w:r>
      <w:r>
        <w:t xml:space="preserve">Distributor shall notify MADE within</w:t>
      </w:r>
      <w:r>
        <w:t xml:space="preserve"> </w:t>
      </w:r>
      <w:r>
        <w:rPr>
          <w:b/>
          <w:bCs/>
        </w:rPr>
        <w:t xml:space="preserve">forty-eight (48) hours</w:t>
      </w:r>
      <w:r>
        <w:t xml:space="preserve"> </w:t>
      </w:r>
      <w:r>
        <w:t xml:space="preserve">of receipt.</w:t>
      </w:r>
    </w:p>
    <w:p>
      <w:pPr>
        <w:numPr>
          <w:ilvl w:val="0"/>
          <w:numId w:val="1007"/>
        </w:numPr>
      </w:pPr>
      <w:r>
        <w:rPr>
          <w:b/>
          <w:bCs/>
        </w:rPr>
        <w:t xml:space="preserve">Shortage, mis-shipment, or concealed non-conformity:</w:t>
      </w:r>
      <w:r>
        <w:t xml:space="preserve"> </w:t>
      </w:r>
      <w:r>
        <w:t xml:space="preserve">Distributor shall notify MADE within</w:t>
      </w:r>
      <w:r>
        <w:t xml:space="preserve"> </w:t>
      </w:r>
      <w:r>
        <w:rPr>
          <w:b/>
          <w:bCs/>
        </w:rPr>
        <w:t xml:space="preserve">five (5) Business Days</w:t>
      </w:r>
      <w:r>
        <w:t xml:space="preserve"> </w:t>
      </w:r>
      <w:r>
        <w:t xml:space="preserve">of receipt.</w:t>
      </w:r>
    </w:p>
    <w:p>
      <w:pPr>
        <w:numPr>
          <w:ilvl w:val="0"/>
          <w:numId w:val="1007"/>
        </w:numPr>
      </w:pPr>
      <w:r>
        <w:t xml:space="preserve">Products not rejected within the applicable period are</w:t>
      </w:r>
      <w:r>
        <w:t xml:space="preserve"> </w:t>
      </w:r>
      <w:r>
        <w:rPr>
          <w:b/>
          <w:bCs/>
        </w:rPr>
        <w:t xml:space="preserve">deemed accepted</w:t>
      </w:r>
      <w:r>
        <w:t xml:space="preserve">, save in respect of a latent defect that could not reasonably have been discovered on inspection and which is notified within</w:t>
      </w:r>
      <w:r>
        <w:t xml:space="preserve"> </w:t>
      </w:r>
      <w:r>
        <w:rPr>
          <w:rStyle w:val="VerbatimChar"/>
        </w:rPr>
        <w:t xml:space="preserve">[thirty (30)]</w:t>
      </w:r>
      <w:r>
        <w:t xml:space="preserve"> </w:t>
      </w:r>
      <w:r>
        <w:t xml:space="preserve">days of discovery and in any event within the Product’s shelf life.</w:t>
      </w:r>
    </w:p>
    <w:p>
      <w:pPr>
        <w:pStyle w:val="FirstParagraph"/>
      </w:pPr>
      <w:r>
        <w:rPr>
          <w:b/>
          <w:bCs/>
        </w:rPr>
        <w:t xml:space="preserve">15.3 Evidence.</w:t>
      </w:r>
      <w:r>
        <w:t xml:space="preserve"> </w:t>
      </w:r>
      <w:r>
        <w:t xml:space="preserve">With any notice under Section 15.2, Distributor shall provide the lot number, photographs of the shipper, contents, and logger readout, and shall</w:t>
      </w:r>
      <w:r>
        <w:t xml:space="preserve"> </w:t>
      </w:r>
      <w:r>
        <w:rPr>
          <w:b/>
          <w:bCs/>
        </w:rPr>
        <w:t xml:space="preserve">preserve the shipper, packaging, logger, and Product in quarantine</w:t>
      </w:r>
      <w:r>
        <w:t xml:space="preserve"> </w:t>
      </w:r>
      <w:r>
        <w:t xml:space="preserve">pending MADE’s disposition.</w:t>
      </w:r>
    </w:p>
    <w:p>
      <w:pPr>
        <w:pStyle w:val="BodyText"/>
      </w:pPr>
      <w:r>
        <w:rPr>
          <w:b/>
          <w:bCs/>
        </w:rPr>
        <w:t xml:space="preserve">15.4 Quarantine.</w:t>
      </w:r>
      <w:r>
        <w:t xml:space="preserve"> </w:t>
      </w:r>
      <w:r>
        <w:t xml:space="preserve">Product subject to a claimed non-conformity or a temperature excursion shall be quarantined, shall not be used, sold, or further distributed, and shall not be released without MADE’s written disposition.</w:t>
      </w:r>
    </w:p>
    <w:p>
      <w:pPr>
        <w:pStyle w:val="BodyText"/>
      </w:pPr>
      <w:r>
        <w:rPr>
          <w:b/>
          <w:bCs/>
        </w:rPr>
        <w:t xml:space="preserve">15.5 Disposition and Remedy.</w:t>
      </w:r>
      <w:r>
        <w:t xml:space="preserve"> </w:t>
      </w:r>
      <w:r>
        <w:t xml:space="preserve">MADE shall investigate and, where a non-conformity is confirmed, at MADE’s election</w:t>
      </w:r>
      <w:r>
        <w:t xml:space="preserve"> </w:t>
      </w:r>
      <w:r>
        <w:rPr>
          <w:b/>
          <w:bCs/>
        </w:rPr>
        <w:t xml:space="preserve">replace the affected Product or issue a credit</w:t>
      </w:r>
      <w:r>
        <w:t xml:space="preserve"> </w:t>
      </w:r>
      <w:r>
        <w:t xml:space="preserve">for the invoiced price. Where MADE determines the Product conformed on tender to the carrier, the loss lies with Distributor under Section 12.2.</w:t>
      </w:r>
      <w:r>
        <w:t xml:space="preserve"> </w:t>
      </w:r>
      <w:r>
        <w:rPr>
          <w:b/>
          <w:bCs/>
        </w:rPr>
        <w:t xml:space="preserve">The remedy in this Section 15.5, together with Section 32.3, is Distributor’s sole and exclusive remedy for non-conforming Product.</w:t>
      </w:r>
    </w:p>
    <w:p>
      <w:pPr>
        <w:pStyle w:val="BodyText"/>
      </w:pPr>
      <w:r>
        <w:rPr>
          <w:b/>
          <w:bCs/>
        </w:rPr>
        <w:t xml:space="preserve">15.6 Returns.</w:t>
      </w:r>
      <w:r>
        <w:t xml:space="preserve"> </w:t>
      </w:r>
      <w:r>
        <w:t xml:space="preserve">No Product may be returned without a</w:t>
      </w:r>
      <w:r>
        <w:t xml:space="preserve"> </w:t>
      </w:r>
      <w:r>
        <w:rPr>
          <w:b/>
          <w:bCs/>
        </w:rPr>
        <w:t xml:space="preserve">Return Material Authorisation</w:t>
      </w:r>
      <w:r>
        <w:t xml:space="preserve"> </w:t>
      </w:r>
      <w:r>
        <w:t xml:space="preserve">issued by MADE. Cryopreserved Product may not be returned to inventory once it has left MADE’s custody; where return is impracticable, MADE may direct</w:t>
      </w:r>
      <w:r>
        <w:t xml:space="preserve"> </w:t>
      </w:r>
      <w:r>
        <w:rPr>
          <w:b/>
          <w:bCs/>
        </w:rPr>
        <w:t xml:space="preserve">documented destruction</w:t>
      </w:r>
      <w:r>
        <w:t xml:space="preserve"> </w:t>
      </w:r>
      <w:r>
        <w:t xml:space="preserve">by Distributor, with a certificate of destruction. MADE will not accept return of Custom Products, Custom Configurations, White Label Products, or samples.</w:t>
      </w:r>
    </w:p>
    <w:p>
      <w:r>
        <w:pict>
          <v:rect style="width:0;height:1.5pt" o:hralign="center" o:hrstd="t" o:hr="t"/>
        </w:pict>
      </w:r>
    </w:p>
    <w:bookmarkEnd w:id="28"/>
    <w:bookmarkStart w:id="29" w:name="allocation-and-shortage"/>
    <w:p>
      <w:pPr>
        <w:pStyle w:val="Heading1"/>
      </w:pPr>
      <w:r>
        <w:t xml:space="preserve">16. ALLOCATION AND SHORTAGE</w:t>
      </w:r>
    </w:p>
    <w:p>
      <w:pPr>
        <w:pStyle w:val="FirstParagraph"/>
      </w:pPr>
      <w:r>
        <w:rPr>
          <w:b/>
          <w:bCs/>
        </w:rPr>
        <w:t xml:space="preserve">16.1 Allocation.</w:t>
      </w:r>
      <w:r>
        <w:t xml:space="preserve"> </w:t>
      </w:r>
      <w:r>
        <w:t xml:space="preserve">If MADE’s supply of any Product is insufficient to meet all demand — including by reason of a batch failure, a lot failing quality release, a raw-material, reagent, dry-ice, or liquid-nitrogen shortage, a logistics disruption, a regulatory hold, or a Force Majeure Event — MADE may</w:t>
      </w:r>
      <w:r>
        <w:t xml:space="preserve"> </w:t>
      </w:r>
      <w:r>
        <w:rPr>
          <w:b/>
          <w:bCs/>
        </w:rPr>
        <w:t xml:space="preserve">allocate available Product among its customers, its Affiliates, and its own requirements in any manner MADE determines to be fair and reasonable</w:t>
      </w:r>
      <w:r>
        <w:t xml:space="preserve">, consistent with UCC § 2-615.</w:t>
      </w:r>
    </w:p>
    <w:p>
      <w:pPr>
        <w:pStyle w:val="BodyText"/>
      </w:pPr>
      <w:r>
        <w:rPr>
          <w:b/>
          <w:bCs/>
        </w:rPr>
        <w:t xml:space="preserve">16.2 Notice.</w:t>
      </w:r>
      <w:r>
        <w:t xml:space="preserve"> </w:t>
      </w:r>
      <w:r>
        <w:t xml:space="preserve">MADE shall notify Distributor of any material delay or allocation as soon as reasonably practicable, together with the estimated quantity available to Distributor.</w:t>
      </w:r>
    </w:p>
    <w:p>
      <w:pPr>
        <w:pStyle w:val="BodyText"/>
      </w:pPr>
      <w:r>
        <w:rPr>
          <w:b/>
          <w:bCs/>
        </w:rPr>
        <w:t xml:space="preserve">16.3 No Liability.</w:t>
      </w:r>
      <w:r>
        <w:t xml:space="preserve"> </w:t>
      </w:r>
      <w:r>
        <w:rPr>
          <w:b/>
          <w:bCs/>
        </w:rPr>
        <w:t xml:space="preserve">MADE shall have no liability for any failure or delay in supply arising from an allocation, a lot failing quality release, or a Force Majeure Event</w:t>
      </w:r>
      <w:r>
        <w:t xml:space="preserve">, and is under no obligation to procure substitute goods or to manufacture out of cycle. Distributor’s Minimum Purchase Commitment shall be equitably reduced in accordance with Section 4.4.</w:t>
      </w:r>
    </w:p>
    <w:p>
      <w:r>
        <w:pict>
          <v:rect style="width:0;height:1.5pt" o:hralign="center" o:hrstd="t" o:hr="t"/>
        </w:pict>
      </w:r>
    </w:p>
    <w:bookmarkEnd w:id="29"/>
    <w:bookmarkStart w:id="30" w:name="X883f6f198f44f9a8eeeb131bfd1f117a36944b7"/>
    <w:p>
      <w:pPr>
        <w:pStyle w:val="Heading1"/>
      </w:pPr>
      <w:r>
        <w:t xml:space="preserve">17. RESEARCH USE ONLY STATUS; LABELING; NO CLINICAL USE</w:t>
      </w:r>
    </w:p>
    <w:p>
      <w:pPr>
        <w:pStyle w:val="BlockText"/>
      </w:pPr>
      <w:r>
        <w:rPr>
          <w:b/>
          <w:bCs/>
        </w:rPr>
        <w:t xml:space="preserve">This Section is fundamental. Breach of it is a material breach permitting immediate termination without cure under Section 38.4.</w:t>
      </w:r>
    </w:p>
    <w:p>
      <w:pPr>
        <w:pStyle w:val="FirstParagraph"/>
      </w:pPr>
      <w:r>
        <w:rPr>
          <w:b/>
          <w:bCs/>
        </w:rPr>
        <w:t xml:space="preserve">17.1 Status of the Products.</w:t>
      </w:r>
      <w:r>
        <w:t xml:space="preserve"> </w:t>
      </w:r>
      <w:r>
        <w:t xml:space="preserve">Distributor acknowledges and agrees that the Products:</w:t>
      </w:r>
    </w:p>
    <w:p>
      <w:pPr>
        <w:numPr>
          <w:ilvl w:val="0"/>
          <w:numId w:val="1008"/>
        </w:numPr>
      </w:pPr>
      <w:r>
        <w:t xml:space="preserve">are</w:t>
      </w:r>
      <w:r>
        <w:t xml:space="preserve"> </w:t>
      </w:r>
      <w:r>
        <w:rPr>
          <w:b/>
          <w:bCs/>
        </w:rPr>
        <w:t xml:space="preserve">Research Use Only materials</w:t>
      </w:r>
      <w:r>
        <w:t xml:space="preserve">, supplied solely for the Permitted Use within the Field;</w:t>
      </w:r>
    </w:p>
    <w:p>
      <w:pPr>
        <w:numPr>
          <w:ilvl w:val="0"/>
          <w:numId w:val="1008"/>
        </w:numPr>
      </w:pPr>
      <w:r>
        <w:t xml:space="preserve">are</w:t>
      </w:r>
      <w:r>
        <w:t xml:space="preserve"> </w:t>
      </w:r>
      <w:r>
        <w:rPr>
          <w:b/>
          <w:bCs/>
        </w:rPr>
        <w:t xml:space="preserve">not</w:t>
      </w:r>
      <w:r>
        <w:t xml:space="preserve"> </w:t>
      </w:r>
      <w:r>
        <w:t xml:space="preserve">approved, cleared, or licensed by the FDA or any other Governmental Authority, and are</w:t>
      </w:r>
      <w:r>
        <w:t xml:space="preserve"> </w:t>
      </w:r>
      <w:r>
        <w:rPr>
          <w:b/>
          <w:bCs/>
        </w:rPr>
        <w:t xml:space="preserve">not</w:t>
      </w:r>
      <w:r>
        <w:t xml:space="preserve"> </w:t>
      </w:r>
      <w:r>
        <w:t xml:space="preserve">the subject of any investigational new drug application, biologics licence application, marketing authorisation, or CE mark;</w:t>
      </w:r>
    </w:p>
    <w:p>
      <w:pPr>
        <w:numPr>
          <w:ilvl w:val="0"/>
          <w:numId w:val="1008"/>
        </w:numPr>
      </w:pPr>
      <w:r>
        <w:t xml:space="preserve">are</w:t>
      </w:r>
      <w:r>
        <w:t xml:space="preserve"> </w:t>
      </w:r>
      <w:r>
        <w:rPr>
          <w:b/>
          <w:bCs/>
        </w:rPr>
        <w:t xml:space="preserve">not</w:t>
      </w:r>
      <w:r>
        <w:t xml:space="preserve"> </w:t>
      </w:r>
      <w:r>
        <w:t xml:space="preserve">drugs, biologics, medical devices, in-vitro diagnostics, cosmetics, or dietary supplements offered for any human or animal use, and are not human cells, tissues, or cellular or tissue-based products intended for implantation, transplantation, infusion, or transfer into a human recipient;</w:t>
      </w:r>
    </w:p>
    <w:p>
      <w:pPr>
        <w:numPr>
          <w:ilvl w:val="0"/>
          <w:numId w:val="1008"/>
        </w:numPr>
      </w:pPr>
      <w:r>
        <w:rPr>
          <w:b/>
          <w:bCs/>
        </w:rPr>
        <w:t xml:space="preserve">may not lawfully be administered to any human or animal</w:t>
      </w:r>
      <w:r>
        <w:t xml:space="preserve">, in the United States or elsewhere, without an investigational new drug application, biologics licence, or the equivalent authorisation of the competent authority; and</w:t>
      </w:r>
    </w:p>
    <w:p>
      <w:pPr>
        <w:numPr>
          <w:ilvl w:val="0"/>
          <w:numId w:val="1008"/>
        </w:numPr>
      </w:pPr>
      <w:r>
        <w:t xml:space="preserve">are supplied on the express condition that Distributor and every person in its distribution chain observe this Section 17.</w:t>
      </w:r>
    </w:p>
    <w:p>
      <w:pPr>
        <w:pStyle w:val="FirstParagraph"/>
      </w:pPr>
      <w:r>
        <w:rPr>
          <w:b/>
          <w:bCs/>
        </w:rPr>
        <w:t xml:space="preserve">17.2 Covenant Against Clinical Use.</w:t>
      </w:r>
      <w:r>
        <w:t xml:space="preserve"> </w:t>
      </w:r>
      <w:r>
        <w:t xml:space="preserve">Distributor represents, warrants, and covenants on a continuing basis that it shall not, and shall procure that its Affiliates, sub-distributors, and customers shall not:</w:t>
      </w:r>
    </w:p>
    <w:p>
      <w:pPr>
        <w:numPr>
          <w:ilvl w:val="0"/>
          <w:numId w:val="1009"/>
        </w:numPr>
      </w:pPr>
      <w:r>
        <w:t xml:space="preserve">use, resell, supply, transfer, or distribute any Product for any</w:t>
      </w:r>
      <w:r>
        <w:t xml:space="preserve"> </w:t>
      </w:r>
      <w:r>
        <w:rPr>
          <w:b/>
          <w:bCs/>
        </w:rPr>
        <w:t xml:space="preserve">Prohibited Clinical Use</w:t>
      </w:r>
      <w:r>
        <w:t xml:space="preserve">;</w:t>
      </w:r>
    </w:p>
    <w:p>
      <w:pPr>
        <w:numPr>
          <w:ilvl w:val="0"/>
          <w:numId w:val="1009"/>
        </w:numPr>
      </w:pPr>
      <w:r>
        <w:t xml:space="preserve">represent, suggest, or imply that any Product is safe, effective, sterile for injection, of clinical or therapeutic grade, or suitable or intended for administration to any human or animal;</w:t>
      </w:r>
    </w:p>
    <w:p>
      <w:pPr>
        <w:numPr>
          <w:ilvl w:val="0"/>
          <w:numId w:val="1009"/>
        </w:numPr>
      </w:pPr>
      <w:r>
        <w:t xml:space="preserve">make any therapeutic, clinical, diagnostic, prophylactic, aesthetic, or performance claim in respect of any Product;</w:t>
      </w:r>
    </w:p>
    <w:p>
      <w:pPr>
        <w:numPr>
          <w:ilvl w:val="0"/>
          <w:numId w:val="1009"/>
        </w:numPr>
      </w:pPr>
      <w:r>
        <w:t xml:space="preserve">provide, publish, or reference any human or animal dosing regimen, treatment protocol, or route of administration for any Product;</w:t>
      </w:r>
    </w:p>
    <w:p>
      <w:pPr>
        <w:numPr>
          <w:ilvl w:val="0"/>
          <w:numId w:val="1009"/>
        </w:numPr>
      </w:pPr>
      <w:r>
        <w:t xml:space="preserve">remove, alter, obscure, translate inaccurately, or fail to reproduce the</w:t>
      </w:r>
      <w:r>
        <w:t xml:space="preserve"> </w:t>
      </w:r>
      <w:r>
        <w:rPr>
          <w:b/>
          <w:bCs/>
        </w:rPr>
        <w:t xml:space="preserve">RUO Legend</w:t>
      </w:r>
      <w:r>
        <w:t xml:space="preserve"> </w:t>
      </w:r>
      <w:r>
        <w:t xml:space="preserve">on any Product, packaging, label, insert, CoA, invoice, quotation, website, or promotional material; or</w:t>
      </w:r>
    </w:p>
    <w:p>
      <w:pPr>
        <w:numPr>
          <w:ilvl w:val="0"/>
          <w:numId w:val="1009"/>
        </w:numPr>
      </w:pPr>
      <w:r>
        <w:t xml:space="preserve">repackage, relabel, aliquot, dilute, formulate, compound, or otherwise modify any Product, except as expressly permitted by Schedule H.</w:t>
      </w:r>
    </w:p>
    <w:p>
      <w:pPr>
        <w:pStyle w:val="FirstParagraph"/>
      </w:pPr>
      <w:r>
        <w:rPr>
          <w:b/>
          <w:bCs/>
        </w:rPr>
        <w:t xml:space="preserve">17.3 No Clinical Support.</w:t>
      </w:r>
      <w:r>
        <w:t xml:space="preserve"> </w:t>
      </w:r>
      <w:r>
        <w:t xml:space="preserve">Distributor shall not request, and MADE shall not provide, (a) assistance in clinically validating any Product; (b) clinical-use instructions, human dosing, or treatment protocols; (c) support for any application to administer a Product to a human or animal; or (d) any statement that a Product is suitable for human use. Any customer request for clinical support shall be answered, and only answered, to the effect that the customer must obtain its own regulatory authorisation and that MADE cannot support human use.</w:t>
      </w:r>
    </w:p>
    <w:p>
      <w:pPr>
        <w:pStyle w:val="BodyText"/>
      </w:pPr>
      <w:r>
        <w:rPr>
          <w:b/>
          <w:bCs/>
        </w:rPr>
        <w:t xml:space="preserve">17.4 Downstream Customer Diligence (Know-Your-Customer).</w:t>
      </w:r>
      <w:r>
        <w:t xml:space="preserve"> </w:t>
      </w:r>
      <w:r>
        <w:t xml:space="preserve">Distributor shall:</w:t>
      </w:r>
    </w:p>
    <w:p>
      <w:pPr>
        <w:numPr>
          <w:ilvl w:val="0"/>
          <w:numId w:val="1010"/>
        </w:numPr>
      </w:pPr>
      <w:r>
        <w:t xml:space="preserve">sell Products only to customers who have first executed an</w:t>
      </w:r>
      <w:r>
        <w:t xml:space="preserve"> </w:t>
      </w:r>
      <w:r>
        <w:rPr>
          <w:b/>
          <w:bCs/>
        </w:rPr>
        <w:t xml:space="preserve">End-User Certificate</w:t>
      </w:r>
      <w:r>
        <w:t xml:space="preserve"> </w:t>
      </w:r>
      <w:r>
        <w:t xml:space="preserve">in the form of Exhibit 3, certifying the Permitted Use and accepting the restrictions in this Section 17;</w:t>
      </w:r>
    </w:p>
    <w:p>
      <w:pPr>
        <w:numPr>
          <w:ilvl w:val="0"/>
          <w:numId w:val="1010"/>
        </w:numPr>
      </w:pPr>
      <w:r>
        <w:t xml:space="preserve">maintain</w:t>
      </w:r>
      <w:r>
        <w:t xml:space="preserve"> </w:t>
      </w:r>
      <w:r>
        <w:rPr>
          <w:b/>
          <w:bCs/>
        </w:rPr>
        <w:t xml:space="preserve">know-your-customer records</w:t>
      </w:r>
      <w:r>
        <w:t xml:space="preserve"> </w:t>
      </w:r>
      <w:r>
        <w:t xml:space="preserve">on each customer’s business, facilities, and intended use, available to MADE on request;</w:t>
      </w:r>
    </w:p>
    <w:p>
      <w:pPr>
        <w:numPr>
          <w:ilvl w:val="0"/>
          <w:numId w:val="1010"/>
        </w:numPr>
      </w:pPr>
      <w:r>
        <w:rPr>
          <w:b/>
          <w:bCs/>
        </w:rPr>
        <w:t xml:space="preserve">not solicit, and shall decline orders from</w:t>
      </w:r>
      <w:r>
        <w:t xml:space="preserve">, any clinic, medi-spa, aesthetic practice, physician practice, compounding pharmacy, veterinary practice, wellness or longevity clinic, stem-cell treatment centre, or any other person that administers biologics to patients, unless Distributor has documented a bona fide non-clinical research use and MADE has approved the customer in writing;</w:t>
      </w:r>
    </w:p>
    <w:p>
      <w:pPr>
        <w:numPr>
          <w:ilvl w:val="0"/>
          <w:numId w:val="1010"/>
        </w:numPr>
      </w:pPr>
      <w:r>
        <w:rPr>
          <w:b/>
          <w:bCs/>
        </w:rPr>
        <w:t xml:space="preserve">refuse any order</w:t>
      </w:r>
      <w:r>
        <w:t xml:space="preserve"> </w:t>
      </w:r>
      <w:r>
        <w:t xml:space="preserve">whose volume, requested formulation, requested presentation, aliquoting, patient-ready configuration, requested documentation, or ship-to address (including a clinic, treatment centre, hospital ward, or residential address) indicates or suggests a Prohibited Clinical Use; and</w:t>
      </w:r>
    </w:p>
    <w:p>
      <w:pPr>
        <w:numPr>
          <w:ilvl w:val="0"/>
          <w:numId w:val="1010"/>
        </w:numPr>
      </w:pPr>
      <w:r>
        <w:t xml:space="preserve">notify MADE within</w:t>
      </w:r>
      <w:r>
        <w:t xml:space="preserve"> </w:t>
      </w:r>
      <w:r>
        <w:rPr>
          <w:b/>
          <w:bCs/>
        </w:rPr>
        <w:t xml:space="preserve">two (2) Business Days</w:t>
      </w:r>
      <w:r>
        <w:t xml:space="preserve"> </w:t>
      </w:r>
      <w:r>
        <w:t xml:space="preserve">of becoming aware of any actual, suspected, or attempted Prohibited Clinical Use or diversion anywhere in its distribution chain.</w:t>
      </w:r>
    </w:p>
    <w:p>
      <w:pPr>
        <w:pStyle w:val="FirstParagraph"/>
      </w:pPr>
      <w:r>
        <w:rPr>
          <w:b/>
          <w:bCs/>
        </w:rPr>
        <w:t xml:space="preserve">17.5 Flow-Down.</w:t>
      </w:r>
      <w:r>
        <w:t xml:space="preserve"> </w:t>
      </w:r>
      <w:r>
        <w:t xml:space="preserve">Distributor shall procure that the restrictions in this Section 17 are imposed, in writing and in enforceable terms, on every sub-distributor and customer, and that they survive resale.</w:t>
      </w:r>
    </w:p>
    <w:p>
      <w:pPr>
        <w:pStyle w:val="BodyText"/>
      </w:pPr>
      <w:r>
        <w:rPr>
          <w:b/>
          <w:bCs/>
        </w:rPr>
        <w:t xml:space="preserve">17.6 Certificate of Analysis — Framing.</w:t>
      </w:r>
      <w:r>
        <w:t xml:space="preserve"> </w:t>
      </w:r>
      <w:r>
        <w:t xml:space="preserve">The CoA is furnished for</w:t>
      </w:r>
      <w:r>
        <w:t xml:space="preserve"> </w:t>
      </w:r>
      <w:r>
        <w:rPr>
          <w:b/>
          <w:bCs/>
        </w:rPr>
        <w:t xml:space="preserve">research quality-control and lot-traceability purposes only</w:t>
      </w:r>
      <w:r>
        <w:t xml:space="preserve">.</w:t>
      </w:r>
      <w:r>
        <w:t xml:space="preserve"> </w:t>
      </w:r>
      <w:r>
        <w:rPr>
          <w:b/>
          <w:bCs/>
        </w:rPr>
        <w:t xml:space="preserve">It is not, and shall not be represented as, a certification that any Product is sterile, safe, or suitable for administration to any human or animal.</w:t>
      </w:r>
      <w:r>
        <w:t xml:space="preserve"> </w:t>
      </w:r>
      <w:r>
        <w:t xml:space="preserve">The RUO Legend appears on the CoA. Distributor shall not excerpt, edit, or reproduce any part of a CoA in a manner that suggests fitness for human or animal use.</w:t>
      </w:r>
    </w:p>
    <w:p>
      <w:pPr>
        <w:pStyle w:val="BodyText"/>
      </w:pPr>
      <w:r>
        <w:rPr>
          <w:b/>
          <w:bCs/>
        </w:rPr>
        <w:t xml:space="preserve">17.7 Audit and Suspension.</w:t>
      </w:r>
      <w:r>
        <w:t xml:space="preserve"> </w:t>
      </w:r>
      <w:r>
        <w:t xml:space="preserve">MADE may audit Distributor’s compliance with this Section 17 in accordance with Section 24, and may</w:t>
      </w:r>
      <w:r>
        <w:t xml:space="preserve"> </w:t>
      </w:r>
      <w:r>
        <w:rPr>
          <w:b/>
          <w:bCs/>
        </w:rPr>
        <w:t xml:space="preserve">suspend all shipments, samples, and Database access immediately and without notice</w:t>
      </w:r>
      <w:r>
        <w:t xml:space="preserve"> </w:t>
      </w:r>
      <w:r>
        <w:t xml:space="preserve">where MADE forms a good-faith belief that a Prohibited Clinical Use has occurred, is occurring, or is likely to occur, or that continued supply would expose MADE to regulatory risk. Suspension under this Section is not a breach by MADE and does not entitle Distributor to any compensation.</w:t>
      </w:r>
    </w:p>
    <w:p>
      <w:pPr>
        <w:pStyle w:val="BodyText"/>
      </w:pPr>
      <w:r>
        <w:rPr>
          <w:b/>
          <w:bCs/>
        </w:rPr>
        <w:t xml:space="preserve">17.8 Reporting.</w:t>
      </w:r>
      <w:r>
        <w:t xml:space="preserve"> </w:t>
      </w:r>
      <w:r>
        <w:t xml:space="preserve">MADE reserves the right to report any suspected diversion or Prohibited Clinical Use to the FDA or any other Governmental Authority, and Distributor waives any claim against MADE arising from a report made in good faith.</w:t>
      </w:r>
    </w:p>
    <w:p>
      <w:pPr>
        <w:pStyle w:val="BodyText"/>
      </w:pPr>
      <w:r>
        <w:rPr>
          <w:b/>
          <w:bCs/>
        </w:rPr>
        <w:t xml:space="preserve">17.9 Acknowledgement.</w:t>
      </w:r>
      <w:r>
        <w:t xml:space="preserve"> </w:t>
      </w:r>
      <w:r>
        <w:rPr>
          <w:b/>
          <w:bCs/>
        </w:rPr>
        <w:t xml:space="preserve">Distributor acknowledges that it understands that the Products are unapproved, that administration of the Products to any human or animal without an investigational new drug application or equivalent authorisation is unlawful, and that Distributor’s compliance with this Section 17 is a condition of supply and a fundamental term of this Agreement.</w:t>
      </w:r>
    </w:p>
    <w:p>
      <w:r>
        <w:pict>
          <v:rect style="width:0;height:1.5pt" o:hralign="center" o:hrstd="t" o:hr="t"/>
        </w:pict>
      </w:r>
    </w:p>
    <w:bookmarkEnd w:id="30"/>
    <w:bookmarkStart w:id="31" w:name="quality-specifications-certificates"/>
    <w:p>
      <w:pPr>
        <w:pStyle w:val="Heading1"/>
      </w:pPr>
      <w:r>
        <w:t xml:space="preserve">18. QUALITY; SPECIFICATIONS; CERTIFICATES</w:t>
      </w:r>
    </w:p>
    <w:p>
      <w:pPr>
        <w:pStyle w:val="FirstParagraph"/>
      </w:pPr>
      <w:r>
        <w:rPr>
          <w:b/>
          <w:bCs/>
        </w:rPr>
        <w:t xml:space="preserve">18.1 Manufacture.</w:t>
      </w:r>
      <w:r>
        <w:t xml:space="preserve"> </w:t>
      </w:r>
      <w:r>
        <w:t xml:space="preserve">MADE shall manufacture the Products at its registered facilities under its quality management system, in accordance with the Specifications.</w:t>
      </w:r>
    </w:p>
    <w:p>
      <w:pPr>
        <w:pStyle w:val="BodyText"/>
      </w:pPr>
      <w:r>
        <w:rPr>
          <w:b/>
          <w:bCs/>
        </w:rPr>
        <w:t xml:space="preserve">18.2 Release.</w:t>
      </w:r>
      <w:r>
        <w:t xml:space="preserve"> </w:t>
      </w:r>
      <w:r>
        <w:t xml:space="preserve">Each Lot is released by MADE’s independent Quality Unit, which has sole and final disposition authority. No Lot is shipped without Quality Unit release.</w:t>
      </w:r>
    </w:p>
    <w:p>
      <w:pPr>
        <w:pStyle w:val="BodyText"/>
      </w:pPr>
      <w:r>
        <w:rPr>
          <w:b/>
          <w:bCs/>
        </w:rPr>
        <w:t xml:space="preserve">18.3 Documentation.</w:t>
      </w:r>
      <w:r>
        <w:t xml:space="preserve"> </w:t>
      </w:r>
      <w:r>
        <w:t xml:space="preserve">MADE shall supply with each shipment: the</w:t>
      </w:r>
      <w:r>
        <w:t xml:space="preserve"> </w:t>
      </w:r>
      <w:r>
        <w:rPr>
          <w:b/>
          <w:bCs/>
        </w:rPr>
        <w:t xml:space="preserve">Certificate of Analysis</w:t>
      </w:r>
      <w:r>
        <w:t xml:space="preserve">, a</w:t>
      </w:r>
      <w:r>
        <w:t xml:space="preserve"> </w:t>
      </w:r>
      <w:r>
        <w:rPr>
          <w:b/>
          <w:bCs/>
        </w:rPr>
        <w:t xml:space="preserve">Certificate of Origin</w:t>
      </w:r>
      <w:r>
        <w:t xml:space="preserve">, the temperature record, and such other documentation as Schedule F specifies.</w:t>
      </w:r>
    </w:p>
    <w:p>
      <w:pPr>
        <w:pStyle w:val="BodyText"/>
      </w:pPr>
      <w:r>
        <w:rPr>
          <w:b/>
          <w:bCs/>
        </w:rPr>
        <w:t xml:space="preserve">18.4 Specification Changes.</w:t>
      </w:r>
      <w:r>
        <w:t xml:space="preserve"> </w:t>
      </w:r>
      <w:r>
        <w:t xml:space="preserve">MADE may change the Specifications, manufacturing process, presentation, or suppliers at any time. Where a change</w:t>
      </w:r>
      <w:r>
        <w:t xml:space="preserve"> </w:t>
      </w:r>
      <w:r>
        <w:rPr>
          <w:b/>
          <w:bCs/>
        </w:rPr>
        <w:t xml:space="preserve">materially and adversely</w:t>
      </w:r>
      <w:r>
        <w:t xml:space="preserve"> </w:t>
      </w:r>
      <w:r>
        <w:t xml:space="preserve">affects the form, fit, function, or stability of a Product, MADE shall give Distributor</w:t>
      </w:r>
      <w:r>
        <w:t xml:space="preserve"> </w:t>
      </w:r>
      <w:r>
        <w:rPr>
          <w:rStyle w:val="VerbatimChar"/>
        </w:rPr>
        <w:t xml:space="preserve">[sixty (60)]</w:t>
      </w:r>
      <w:r>
        <w:t xml:space="preserve"> </w:t>
      </w:r>
      <w:r>
        <w:t xml:space="preserve">days’ prior written notice. MADE has no obligation to maintain, support, or supply any superseded Product.</w:t>
      </w:r>
    </w:p>
    <w:p>
      <w:pPr>
        <w:pStyle w:val="BodyText"/>
      </w:pPr>
      <w:r>
        <w:rPr>
          <w:b/>
          <w:bCs/>
        </w:rPr>
        <w:t xml:space="preserve">18.5 Product Discontinuation.</w:t>
      </w:r>
      <w:r>
        <w:t xml:space="preserve"> </w:t>
      </w:r>
      <w:r>
        <w:t xml:space="preserve">MADE may discontinue any Product on</w:t>
      </w:r>
      <w:r>
        <w:t xml:space="preserve"> </w:t>
      </w:r>
      <w:r>
        <w:rPr>
          <w:rStyle w:val="VerbatimChar"/>
        </w:rPr>
        <w:t xml:space="preserve">[one hundred and eighty (180)]</w:t>
      </w:r>
      <w:r>
        <w:t xml:space="preserve"> </w:t>
      </w:r>
      <w:r>
        <w:t xml:space="preserve">days’ written notice, during which period Distributor may place a final Purchase Order for delivery within the notice period. Discontinuation is not a breach and gives rise to no claim by Distributor.</w:t>
      </w:r>
    </w:p>
    <w:p>
      <w:pPr>
        <w:pStyle w:val="BodyText"/>
      </w:pPr>
      <w:r>
        <w:rPr>
          <w:b/>
          <w:bCs/>
        </w:rPr>
        <w:t xml:space="preserve">18.6 No Quality Agreement Implied.</w:t>
      </w:r>
      <w:r>
        <w:t xml:space="preserve"> </w:t>
      </w:r>
      <w:r>
        <w:t xml:space="preserve">This Agreement is not a quality agreement. Where the Parties execute a separate quality agreement, it governs technical quality matters and this Agreement governs all commercial and legal matters;</w:t>
      </w:r>
      <w:r>
        <w:t xml:space="preserve"> </w:t>
      </w:r>
      <w:r>
        <w:rPr>
          <w:b/>
          <w:bCs/>
        </w:rPr>
        <w:t xml:space="preserve">in the event of conflict on commercial or legal matters, this Agreement prevails</w:t>
      </w:r>
      <w:r>
        <w:t xml:space="preserve">.</w:t>
      </w:r>
    </w:p>
    <w:p>
      <w:r>
        <w:pict>
          <v:rect style="width:0;height:1.5pt" o:hralign="center" o:hrstd="t" o:hr="t"/>
        </w:pict>
      </w:r>
    </w:p>
    <w:bookmarkEnd w:id="31"/>
    <w:bookmarkStart w:id="32" w:name="storage-and-cold-chain"/>
    <w:p>
      <w:pPr>
        <w:pStyle w:val="Heading1"/>
      </w:pPr>
      <w:r>
        <w:t xml:space="preserve">19. STORAGE AND COLD CHAIN</w:t>
      </w:r>
    </w:p>
    <w:p>
      <w:pPr>
        <w:pStyle w:val="FirstParagraph"/>
      </w:pPr>
      <w:r>
        <w:rPr>
          <w:b/>
          <w:bCs/>
        </w:rPr>
        <w:t xml:space="preserve">19.1 Storage.</w:t>
      </w:r>
      <w:r>
        <w:t xml:space="preserve"> </w:t>
      </w:r>
      <w:r>
        <w:t xml:space="preserve">Distributor shall store, handle, and transport each Product strictly in accordance with the storage conditions stated on its label and CoA, using calibrated, continuously monitored, alarmed equipment with documented back-up (including back-up power and back-up storage capacity).</w:t>
      </w:r>
    </w:p>
    <w:p>
      <w:pPr>
        <w:pStyle w:val="BodyText"/>
      </w:pPr>
      <w:r>
        <w:rPr>
          <w:b/>
          <w:bCs/>
        </w:rPr>
        <w:t xml:space="preserve">19.2 Facility Standard.</w:t>
      </w:r>
      <w:r>
        <w:t xml:space="preserve"> </w:t>
      </w:r>
      <w:r>
        <w:t xml:space="preserve">Distributor shall maintain facilities, security, segregation of quarantined, returned, damaged, and expired stock, and written standard operating procedures meeting, as a</w:t>
      </w:r>
      <w:r>
        <w:t xml:space="preserve"> </w:t>
      </w:r>
      <w:r>
        <w:rPr>
          <w:b/>
          <w:bCs/>
        </w:rPr>
        <w:t xml:space="preserve">contractual minimum</w:t>
      </w:r>
      <w:r>
        <w:t xml:space="preserve">, the standards described at 21 CFR § 205.50, whether or not that regulation applies to the Products as a matter of law.</w:t>
      </w:r>
    </w:p>
    <w:p>
      <w:pPr>
        <w:pStyle w:val="BodyText"/>
      </w:pPr>
      <w:r>
        <w:rPr>
          <w:b/>
          <w:bCs/>
        </w:rPr>
        <w:t xml:space="preserve">19.3 Excursions.</w:t>
      </w:r>
      <w:r>
        <w:t xml:space="preserve"> </w:t>
      </w:r>
      <w:r>
        <w:t xml:space="preserve">Distributor shall</w:t>
      </w:r>
      <w:r>
        <w:t xml:space="preserve"> </w:t>
      </w:r>
      <w:r>
        <w:rPr>
          <w:b/>
          <w:bCs/>
        </w:rPr>
        <w:t xml:space="preserve">quarantine</w:t>
      </w:r>
      <w:r>
        <w:t xml:space="preserve"> </w:t>
      </w:r>
      <w:r>
        <w:t xml:space="preserve">any Product subject to a temperature excursion, deviation, or equipment failure, shall</w:t>
      </w:r>
      <w:r>
        <w:t xml:space="preserve"> </w:t>
      </w:r>
      <w:r>
        <w:rPr>
          <w:b/>
          <w:bCs/>
        </w:rPr>
        <w:t xml:space="preserve">notify MADE within twenty-four (24) hours</w:t>
      </w:r>
      <w:r>
        <w:t xml:space="preserve">, and shall not release, use, sell, or distribute that Product without MADE’s written disposition.</w:t>
      </w:r>
    </w:p>
    <w:p>
      <w:pPr>
        <w:pStyle w:val="BodyText"/>
      </w:pPr>
      <w:r>
        <w:rPr>
          <w:b/>
          <w:bCs/>
        </w:rPr>
        <w:t xml:space="preserve">19.4 Records.</w:t>
      </w:r>
      <w:r>
        <w:t xml:space="preserve"> </w:t>
      </w:r>
      <w:r>
        <w:t xml:space="preserve">Distributor shall retain temperature-monitoring records, calibration records, and excursion investigations for the period in Section 22.2 and shall make them available to MADE on request.</w:t>
      </w:r>
    </w:p>
    <w:p>
      <w:pPr>
        <w:pStyle w:val="BodyText"/>
      </w:pPr>
      <w:r>
        <w:rPr>
          <w:b/>
          <w:bCs/>
        </w:rPr>
        <w:t xml:space="preserve">19.5 Stock Rotation; Shelf Life.</w:t>
      </w:r>
      <w:r>
        <w:t xml:space="preserve"> </w:t>
      </w:r>
      <w:r>
        <w:t xml:space="preserve">Distributor shall manage Product inventory on a</w:t>
      </w:r>
      <w:r>
        <w:t xml:space="preserve"> </w:t>
      </w:r>
      <w:r>
        <w:rPr>
          <w:b/>
          <w:bCs/>
        </w:rPr>
        <w:t xml:space="preserve">first-expiry, first-out</w:t>
      </w:r>
      <w:r>
        <w:t xml:space="preserve"> </w:t>
      </w:r>
      <w:r>
        <w:t xml:space="preserve">basis. MADE shall use commercially reasonable efforts to deliver Product with not less than</w:t>
      </w:r>
      <w:r>
        <w:t xml:space="preserve"> </w:t>
      </w:r>
      <w:r>
        <w:rPr>
          <w:rStyle w:val="VerbatimChar"/>
        </w:rPr>
        <w:t xml:space="preserve">[seventy-five percent (75%)]</w:t>
      </w:r>
      <w:r>
        <w:t xml:space="preserve"> </w:t>
      </w:r>
      <w:r>
        <w:t xml:space="preserve">of its shelf life remaining at the date of tender to the carrier.</w:t>
      </w:r>
      <w:r>
        <w:t xml:space="preserve"> </w:t>
      </w:r>
      <w:r>
        <w:rPr>
          <w:b/>
          <w:bCs/>
        </w:rPr>
        <w:t xml:space="preserve">Distributor shall not sell or supply any Product after its expiry date</w:t>
      </w:r>
      <w:r>
        <w:t xml:space="preserve">, and shall destroy expired Product in accordance with Section 19.6.</w:t>
      </w:r>
    </w:p>
    <w:p>
      <w:pPr>
        <w:pStyle w:val="BodyText"/>
      </w:pPr>
      <w:r>
        <w:rPr>
          <w:b/>
          <w:bCs/>
        </w:rPr>
        <w:t xml:space="preserve">19.6 Destruction.</w:t>
      </w:r>
      <w:r>
        <w:t xml:space="preserve"> </w:t>
      </w:r>
      <w:r>
        <w:t xml:space="preserve">Expired, quarantined, rejected, or recalled Product shall be destroyed by a licensed contractor in accordance with Applicable Law, and Distributor shall provide MADE with a certificate of destruction identifying the Product, Lot, and quantity.</w:t>
      </w:r>
    </w:p>
    <w:p>
      <w:r>
        <w:pict>
          <v:rect style="width:0;height:1.5pt" o:hralign="center" o:hrstd="t" o:hr="t"/>
        </w:pict>
      </w:r>
    </w:p>
    <w:bookmarkEnd w:id="32"/>
    <w:bookmarkStart w:id="33" w:name="complaints-and-adverse-events"/>
    <w:p>
      <w:pPr>
        <w:pStyle w:val="Heading1"/>
      </w:pPr>
      <w:r>
        <w:t xml:space="preserve">20. COMPLAINTS AND ADVERSE EVENTS</w:t>
      </w:r>
    </w:p>
    <w:p>
      <w:pPr>
        <w:pStyle w:val="FirstParagraph"/>
      </w:pPr>
      <w:r>
        <w:rPr>
          <w:b/>
          <w:bCs/>
        </w:rPr>
        <w:t xml:space="preserve">20.1 Flow-Down Timelines.</w:t>
      </w:r>
      <w:r>
        <w:t xml:space="preserve"> </w:t>
      </w:r>
      <w:r>
        <w:t xml:space="preserve">Distributor shall notify MADE, through the channel designated in Schedule F:</w:t>
      </w:r>
    </w:p>
    <w:p>
      <w:pPr>
        <w:numPr>
          <w:ilvl w:val="0"/>
          <w:numId w:val="1011"/>
        </w:numPr>
      </w:pPr>
      <w:r>
        <w:t xml:space="preserve">of any Adverse Event that is</w:t>
      </w:r>
      <w:r>
        <w:t xml:space="preserve"> </w:t>
      </w:r>
      <w:r>
        <w:rPr>
          <w:b/>
          <w:bCs/>
        </w:rPr>
        <w:t xml:space="preserve">serious, life-threatening, or fatal</w:t>
      </w:r>
      <w:r>
        <w:t xml:space="preserve"> </w:t>
      </w:r>
      <w:r>
        <w:t xml:space="preserve">— within</w:t>
      </w:r>
      <w:r>
        <w:t xml:space="preserve"> </w:t>
      </w:r>
      <w:r>
        <w:rPr>
          <w:b/>
          <w:bCs/>
        </w:rPr>
        <w:t xml:space="preserve">twenty-four (24) hours</w:t>
      </w:r>
      <w:r>
        <w:t xml:space="preserve"> </w:t>
      </w:r>
      <w:r>
        <w:t xml:space="preserve">of becoming aware of it;</w:t>
      </w:r>
    </w:p>
    <w:p>
      <w:pPr>
        <w:numPr>
          <w:ilvl w:val="0"/>
          <w:numId w:val="1011"/>
        </w:numPr>
      </w:pPr>
      <w:r>
        <w:t xml:space="preserve">of any other Adverse Event — within</w:t>
      </w:r>
      <w:r>
        <w:t xml:space="preserve"> </w:t>
      </w:r>
      <w:r>
        <w:rPr>
          <w:b/>
          <w:bCs/>
        </w:rPr>
        <w:t xml:space="preserve">three (3) calendar days</w:t>
      </w:r>
      <w:r>
        <w:t xml:space="preserve">;</w:t>
      </w:r>
    </w:p>
    <w:p>
      <w:pPr>
        <w:numPr>
          <w:ilvl w:val="0"/>
          <w:numId w:val="1011"/>
        </w:numPr>
      </w:pPr>
      <w:r>
        <w:t xml:space="preserve">of any product quality complaint — within</w:t>
      </w:r>
      <w:r>
        <w:t xml:space="preserve"> </w:t>
      </w:r>
      <w:r>
        <w:rPr>
          <w:b/>
          <w:bCs/>
        </w:rPr>
        <w:t xml:space="preserve">two (2) Business Days</w:t>
      </w:r>
      <w:r>
        <w:t xml:space="preserve">, or within</w:t>
      </w:r>
      <w:r>
        <w:t xml:space="preserve"> </w:t>
      </w:r>
      <w:r>
        <w:rPr>
          <w:b/>
          <w:bCs/>
        </w:rPr>
        <w:t xml:space="preserve">twenty-four (24) hours</w:t>
      </w:r>
      <w:r>
        <w:t xml:space="preserve"> </w:t>
      </w:r>
      <w:r>
        <w:t xml:space="preserve">where it indicates a potential safety issue, contamination, or a Prohibited Clinical Use; and</w:t>
      </w:r>
    </w:p>
    <w:p>
      <w:pPr>
        <w:numPr>
          <w:ilvl w:val="0"/>
          <w:numId w:val="1011"/>
        </w:numPr>
      </w:pPr>
      <w:r>
        <w:t xml:space="preserve">of any contact, inquiry, inspection, or demand from any Governmental Authority concerning any Product — within</w:t>
      </w:r>
      <w:r>
        <w:t xml:space="preserve"> </w:t>
      </w:r>
      <w:r>
        <w:rPr>
          <w:b/>
          <w:bCs/>
        </w:rPr>
        <w:t xml:space="preserve">twenty-four (24) hours</w:t>
      </w:r>
      <w:r>
        <w:t xml:space="preserve">.</w:t>
      </w:r>
    </w:p>
    <w:p>
      <w:pPr>
        <w:pStyle w:val="FirstParagraph"/>
      </w:pPr>
      <w:r>
        <w:rPr>
          <w:b/>
          <w:bCs/>
        </w:rPr>
        <w:t xml:space="preserve">20.2 Minimum Data.</w:t>
      </w:r>
      <w:r>
        <w:t xml:space="preserve"> </w:t>
      </w:r>
      <w:r>
        <w:t xml:space="preserve">Distributor shall collect and forward, at minimum, the reporter’s identity and contact details, the Product and lot number, a description of the event, and relevant dates, and shall cooperate with MADE’s follow-up so that MADE can meet any reporting obligation to which it is subject.</w:t>
      </w:r>
    </w:p>
    <w:p>
      <w:pPr>
        <w:pStyle w:val="BodyText"/>
      </w:pPr>
      <w:r>
        <w:rPr>
          <w:b/>
          <w:bCs/>
        </w:rPr>
        <w:t xml:space="preserve">20.3 MADE Reports.</w:t>
      </w:r>
      <w:r>
        <w:t xml:space="preserve"> </w:t>
      </w:r>
      <w:r>
        <w:rPr>
          <w:b/>
          <w:bCs/>
        </w:rPr>
        <w:t xml:space="preserve">MADE is solely responsible for any report to any Governmental Authority in respect of the Products.</w:t>
      </w:r>
      <w:r>
        <w:t xml:space="preserve"> </w:t>
      </w:r>
      <w:r>
        <w:t xml:space="preserve">Distributor shall not correspond independently with any Governmental Authority concerning the Products, except where legally compelled, in which case it shall notify MADE in advance where lawful to do so.</w:t>
      </w:r>
    </w:p>
    <w:p>
      <w:pPr>
        <w:pStyle w:val="BodyText"/>
      </w:pPr>
      <w:r>
        <w:rPr>
          <w:b/>
          <w:bCs/>
        </w:rPr>
        <w:t xml:space="preserve">20.4 No Admissions.</w:t>
      </w:r>
      <w:r>
        <w:t xml:space="preserve"> </w:t>
      </w:r>
      <w:r>
        <w:t xml:space="preserve">Distributor shall make no admission of liability, causation, or defect on MADE’s behalf.</w:t>
      </w:r>
    </w:p>
    <w:p>
      <w:pPr>
        <w:pStyle w:val="BodyText"/>
      </w:pPr>
      <w:r>
        <w:rPr>
          <w:b/>
          <w:bCs/>
        </w:rPr>
        <w:t xml:space="preserve">20.5 Safety Data Exchange.</w:t>
      </w:r>
      <w:r>
        <w:t xml:space="preserve"> </w:t>
      </w:r>
      <w:r>
        <w:t xml:space="preserve">The Parties may execute a separate</w:t>
      </w:r>
      <w:r>
        <w:t xml:space="preserve"> </w:t>
      </w:r>
      <w:r>
        <w:rPr>
          <w:b/>
          <w:bCs/>
        </w:rPr>
        <w:t xml:space="preserve">Pharmacovigilance / Safety Data Exchange Agreement</w:t>
      </w:r>
      <w:r>
        <w:t xml:space="preserve"> </w:t>
      </w:r>
      <w:r>
        <w:t xml:space="preserve">setting out detailed operational procedures, contacts, data formats, and reconciliation for the exchange of safety information. Any such agreement supplements, and does not reduce, the timelines and obligations in this Section 20 and Schedule F; in the event of conflict on the substance of a reporting obligation, the shorter timeline and the broader obligation prevail. Pending execution of any such agreement, this Section 20 and Schedule F govern.</w:t>
      </w:r>
    </w:p>
    <w:p>
      <w:pPr>
        <w:pStyle w:val="BodyText"/>
      </w:pPr>
      <w:r>
        <w:rPr>
          <w:b/>
          <w:bCs/>
        </w:rPr>
        <w:t xml:space="preserve">20.6 Contacts.</w:t>
      </w:r>
      <w:r>
        <w:t xml:space="preserve"> </w:t>
      </w:r>
      <w:r>
        <w:t xml:space="preserve">Each Party shall designate, and keep current, a responsible contact for complaints and Adverse Events, as recorded in Schedule F.</w:t>
      </w:r>
    </w:p>
    <w:p>
      <w:r>
        <w:pict>
          <v:rect style="width:0;height:1.5pt" o:hralign="center" o:hrstd="t" o:hr="t"/>
        </w:pict>
      </w:r>
    </w:p>
    <w:bookmarkEnd w:id="33"/>
    <w:bookmarkStart w:id="34" w:name="recall-and-field-action"/>
    <w:p>
      <w:pPr>
        <w:pStyle w:val="Heading1"/>
      </w:pPr>
      <w:r>
        <w:t xml:space="preserve">21. RECALL AND FIELD ACTION</w:t>
      </w:r>
    </w:p>
    <w:p>
      <w:pPr>
        <w:pStyle w:val="FirstParagraph"/>
      </w:pPr>
      <w:r>
        <w:rPr>
          <w:b/>
          <w:bCs/>
        </w:rPr>
        <w:t xml:space="preserve">21.1 Decision.</w:t>
      </w:r>
      <w:r>
        <w:t xml:space="preserve"> </w:t>
      </w:r>
      <w:r>
        <w:rPr>
          <w:b/>
          <w:bCs/>
        </w:rPr>
        <w:t xml:space="preserve">MADE has sole authority to decide whether to initiate a recall, withdrawal, stock recovery, field correction, or customer notification</w:t>
      </w:r>
      <w:r>
        <w:t xml:space="preserve"> </w:t>
      </w:r>
      <w:r>
        <w:t xml:space="preserve">in respect of any Product.</w:t>
      </w:r>
    </w:p>
    <w:p>
      <w:pPr>
        <w:pStyle w:val="BodyText"/>
      </w:pPr>
      <w:r>
        <w:rPr>
          <w:b/>
          <w:bCs/>
        </w:rPr>
        <w:t xml:space="preserve">21.2 Distributor Cooperation.</w:t>
      </w:r>
      <w:r>
        <w:t xml:space="preserve"> </w:t>
      </w:r>
      <w:r>
        <w:t xml:space="preserve">On notice from MADE, Distributor shall, within</w:t>
      </w:r>
      <w:r>
        <w:t xml:space="preserve"> </w:t>
      </w:r>
      <w:r>
        <w:rPr>
          <w:b/>
          <w:bCs/>
        </w:rPr>
        <w:t xml:space="preserve">twenty-four (24) hours</w:t>
      </w:r>
      <w:r>
        <w:t xml:space="preserve">: cease distribution of the affected Lot; quarantine all affected stock; notify every consignee to which it distributed the affected Lot; and commence retrieval. Distributor shall provide its distribution records within</w:t>
      </w:r>
      <w:r>
        <w:t xml:space="preserve"> </w:t>
      </w:r>
      <w:r>
        <w:rPr>
          <w:b/>
          <w:bCs/>
        </w:rPr>
        <w:t xml:space="preserve">twenty-four (24) hours</w:t>
      </w:r>
      <w:r>
        <w:t xml:space="preserve"> </w:t>
      </w:r>
      <w:r>
        <w:t xml:space="preserve">of request and shall complete recall effectiveness reporting to MADE.</w:t>
      </w:r>
    </w:p>
    <w:p>
      <w:pPr>
        <w:pStyle w:val="BodyText"/>
      </w:pPr>
      <w:r>
        <w:rPr>
          <w:b/>
          <w:bCs/>
        </w:rPr>
        <w:t xml:space="preserve">21.3 Cost Allocation.</w:t>
      </w:r>
    </w:p>
    <w:p>
      <w:pPr>
        <w:numPr>
          <w:ilvl w:val="0"/>
          <w:numId w:val="1012"/>
        </w:numPr>
      </w:pPr>
      <w:r>
        <w:rPr>
          <w:b/>
          <w:bCs/>
        </w:rPr>
        <w:t xml:space="preserve">MADE</w:t>
      </w:r>
      <w:r>
        <w:t xml:space="preserve"> </w:t>
      </w:r>
      <w:r>
        <w:t xml:space="preserve">bears the direct costs of a recall to the extent it arises from a defect in MADE’s manufacture, release, or labelling of the Product;</w:t>
      </w:r>
    </w:p>
    <w:p>
      <w:pPr>
        <w:numPr>
          <w:ilvl w:val="0"/>
          <w:numId w:val="1012"/>
        </w:numPr>
      </w:pPr>
      <w:r>
        <w:rPr>
          <w:b/>
          <w:bCs/>
        </w:rPr>
        <w:t xml:space="preserve">Distributor</w:t>
      </w:r>
      <w:r>
        <w:t xml:space="preserve"> </w:t>
      </w:r>
      <w:r>
        <w:t xml:space="preserve">bears the direct costs of a recall (including MADE’s costs) to the extent it arises from Distributor’s or its sub-distributor’s or customer’s storage, handling, transport, repackaging, relabelling, promotion, diversion, or Prohibited Clinical Use.</w:t>
      </w:r>
    </w:p>
    <w:p>
      <w:pPr>
        <w:numPr>
          <w:ilvl w:val="0"/>
          <w:numId w:val="1012"/>
        </w:numPr>
      </w:pPr>
      <w:r>
        <w:t xml:space="preserve">Recoverable costs comprise notification, freight, retrieval, quarantine, destruction, and reasonable replacement or credit.</w:t>
      </w:r>
      <w:r>
        <w:t xml:space="preserve"> </w:t>
      </w:r>
      <w:r>
        <w:rPr>
          <w:b/>
          <w:bCs/>
        </w:rPr>
        <w:t xml:space="preserve">MADE’s aggregate liability under this Section 21.3(a) is subject to the cap in Section 33.2.</w:t>
      </w:r>
    </w:p>
    <w:p>
      <w:pPr>
        <w:pStyle w:val="FirstParagraph"/>
      </w:pPr>
      <w:r>
        <w:rPr>
          <w:b/>
          <w:bCs/>
        </w:rPr>
        <w:t xml:space="preserve">21.4 Mock Recall.</w:t>
      </w:r>
      <w:r>
        <w:t xml:space="preserve"> </w:t>
      </w:r>
      <w:r>
        <w:t xml:space="preserve">Distributor shall conduct an annual mock recall demonstrating its ability to reconstruct the distribution of any Lot within twenty-four (24) hours, and shall share the results with MADE.</w:t>
      </w:r>
    </w:p>
    <w:p>
      <w:r>
        <w:pict>
          <v:rect style="width:0;height:1.5pt" o:hralign="center" o:hrstd="t" o:hr="t"/>
        </w:pict>
      </w:r>
    </w:p>
    <w:bookmarkEnd w:id="34"/>
    <w:bookmarkStart w:id="35" w:name="traceability-and-records"/>
    <w:p>
      <w:pPr>
        <w:pStyle w:val="Heading1"/>
      </w:pPr>
      <w:r>
        <w:t xml:space="preserve">22. TRACEABILITY AND RECORDS</w:t>
      </w:r>
    </w:p>
    <w:p>
      <w:pPr>
        <w:pStyle w:val="FirstParagraph"/>
      </w:pPr>
      <w:r>
        <w:rPr>
          <w:b/>
          <w:bCs/>
        </w:rPr>
        <w:t xml:space="preserve">22.1 Traceability.</w:t>
      </w:r>
      <w:r>
        <w:t xml:space="preserve"> </w:t>
      </w:r>
      <w:r>
        <w:t xml:space="preserve">Distributor shall maintain records, at</w:t>
      </w:r>
      <w:r>
        <w:t xml:space="preserve"> </w:t>
      </w:r>
      <w:r>
        <w:rPr>
          <w:b/>
          <w:bCs/>
        </w:rPr>
        <w:t xml:space="preserve">lot level and consignee level</w:t>
      </w:r>
      <w:r>
        <w:t xml:space="preserve">, of every receipt and every onward distribution of Product (identity, quantity, dates, source, and recipient), sufficient to reconstruct the complete distribution chain of any Lot.</w:t>
      </w:r>
    </w:p>
    <w:p>
      <w:pPr>
        <w:pStyle w:val="BodyText"/>
      </w:pPr>
      <w:r>
        <w:rPr>
          <w:b/>
          <w:bCs/>
        </w:rPr>
        <w:t xml:space="preserve">22.2 Retention.</w:t>
      </w:r>
      <w:r>
        <w:t xml:space="preserve"> </w:t>
      </w:r>
      <w:r>
        <w:t xml:space="preserve">Distributor shall retain those records, and the records required by Sections 17.4, 19.4, and 25.4, for</w:t>
      </w:r>
      <w:r>
        <w:t xml:space="preserve"> </w:t>
      </w:r>
      <w:r>
        <w:rPr>
          <w:b/>
          <w:bCs/>
        </w:rPr>
        <w:t xml:space="preserve">ten (10) years</w:t>
      </w:r>
      <w:r>
        <w:t xml:space="preserve"> </w:t>
      </w:r>
      <w:r>
        <w:t xml:space="preserve">from the date of distribution, or longer where Applicable Law requires. This Section survives termination.</w:t>
      </w:r>
    </w:p>
    <w:p>
      <w:pPr>
        <w:pStyle w:val="BodyText"/>
      </w:pPr>
      <w:r>
        <w:rPr>
          <w:b/>
          <w:bCs/>
        </w:rPr>
        <w:t xml:space="preserve">22.3 Availability.</w:t>
      </w:r>
      <w:r>
        <w:t xml:space="preserve"> </w:t>
      </w:r>
      <w:r>
        <w:t xml:space="preserve">Records shall be made available to MADE, and to any Governmental Authority, on request.</w:t>
      </w:r>
    </w:p>
    <w:p>
      <w:r>
        <w:pict>
          <v:rect style="width:0;height:1.5pt" o:hralign="center" o:hrstd="t" o:hr="t"/>
        </w:pict>
      </w:r>
    </w:p>
    <w:bookmarkEnd w:id="35"/>
    <w:bookmarkStart w:id="36" w:name="regulatory-responsibility"/>
    <w:p>
      <w:pPr>
        <w:pStyle w:val="Heading1"/>
      </w:pPr>
      <w:r>
        <w:t xml:space="preserve">23. REGULATORY RESPONSIBILITY</w:t>
      </w:r>
    </w:p>
    <w:p>
      <w:pPr>
        <w:pStyle w:val="FirstParagraph"/>
      </w:pPr>
      <w:r>
        <w:rPr>
          <w:b/>
          <w:bCs/>
        </w:rPr>
        <w:t xml:space="preserve">23.1 Matrix.</w:t>
      </w:r>
      <w:r>
        <w:t xml:space="preserve"> </w:t>
      </w:r>
      <w:r>
        <w:t xml:space="preserve">Regulatory responsibilities are allocated as set out in the Regulatory Responsibility Matrix in</w:t>
      </w:r>
      <w:r>
        <w:t xml:space="preserve"> </w:t>
      </w:r>
      <w:r>
        <w:rPr>
          <w:b/>
          <w:bCs/>
        </w:rPr>
        <w:t xml:space="preserve">Schedule F</w:t>
      </w:r>
      <w:r>
        <w:t xml:space="preserve">.</w:t>
      </w:r>
    </w:p>
    <w:p>
      <w:pPr>
        <w:pStyle w:val="BodyText"/>
      </w:pPr>
      <w:r>
        <w:rPr>
          <w:b/>
          <w:bCs/>
        </w:rPr>
        <w:t xml:space="preserve">23.2 Importer of Record; Local Registration.</w:t>
      </w:r>
      <w:r>
        <w:t xml:space="preserve"> </w:t>
      </w:r>
      <w:r>
        <w:t xml:space="preserve">Distributor is the importer of record and is solely responsible, at its cost, for import permits, customs clearance, local product registration and notification, and territory-specific labelling in compliance with local law.</w:t>
      </w:r>
    </w:p>
    <w:p>
      <w:pPr>
        <w:pStyle w:val="BodyText"/>
      </w:pPr>
      <w:r>
        <w:rPr>
          <w:b/>
          <w:bCs/>
        </w:rPr>
        <w:t xml:space="preserve">23.3 No Placing on a Regulated Market.</w:t>
      </w:r>
      <w:r>
        <w:t xml:space="preserve"> </w:t>
      </w:r>
      <w:r>
        <w:t xml:space="preserve">Distributor shall not place, register, notify, or list any Product on any market, or with any Governmental Authority, as a drug, biologic, medical device, in-vitro diagnostic, cosmetic, or dietary supplement, or in any manner inconsistent with Section 17.</w:t>
      </w:r>
    </w:p>
    <w:p>
      <w:pPr>
        <w:pStyle w:val="BodyText"/>
      </w:pPr>
      <w:r>
        <w:rPr>
          <w:b/>
          <w:bCs/>
        </w:rPr>
        <w:t xml:space="preserve">23.4 Export Certificates.</w:t>
      </w:r>
      <w:r>
        <w:t xml:space="preserve"> </w:t>
      </w:r>
      <w:r>
        <w:t xml:space="preserve">Distributor acknowledges that, because the Products are not approved or marketed in the United States,</w:t>
      </w:r>
      <w:r>
        <w:t xml:space="preserve"> </w:t>
      </w:r>
      <w:r>
        <w:rPr>
          <w:b/>
          <w:bCs/>
        </w:rPr>
        <w:t xml:space="preserve">MADE cannot obtain a Certificate to Foreign Government or a Certificate of Pharmaceutical Product</w:t>
      </w:r>
      <w:r>
        <w:t xml:space="preserve"> </w:t>
      </w:r>
      <w:r>
        <w:t xml:space="preserve">for them. MADE shall provide, on reasonable request, such documentation as is available for research material, which may include a Certificate of Exportability or a non-clinical research-use certificate.</w:t>
      </w:r>
    </w:p>
    <w:p>
      <w:pPr>
        <w:pStyle w:val="BodyText"/>
      </w:pPr>
      <w:r>
        <w:rPr>
          <w:b/>
          <w:bCs/>
        </w:rPr>
        <w:t xml:space="preserve">23.5 Local Law.</w:t>
      </w:r>
      <w:r>
        <w:t xml:space="preserve"> </w:t>
      </w:r>
      <w:r>
        <w:t xml:space="preserve">Distributor represents that it has satisfied itself that the import, possession, and resale of the Products for the Permitted Use is lawful in the Territory, and shall notify MADE promptly of any change in law affecting that position.</w:t>
      </w:r>
    </w:p>
    <w:p>
      <w:r>
        <w:pict>
          <v:rect style="width:0;height:1.5pt" o:hralign="center" o:hrstd="t" o:hr="t"/>
        </w:pict>
      </w:r>
    </w:p>
    <w:bookmarkEnd w:id="36"/>
    <w:bookmarkStart w:id="37" w:name="audit-rights"/>
    <w:p>
      <w:pPr>
        <w:pStyle w:val="Heading1"/>
      </w:pPr>
      <w:r>
        <w:t xml:space="preserve">24. AUDIT RIGHTS</w:t>
      </w:r>
    </w:p>
    <w:p>
      <w:pPr>
        <w:pStyle w:val="FirstParagraph"/>
      </w:pPr>
      <w:r>
        <w:rPr>
          <w:b/>
          <w:bCs/>
        </w:rPr>
        <w:t xml:space="preserve">24.1 Scope.</w:t>
      </w:r>
      <w:r>
        <w:t xml:space="preserve"> </w:t>
      </w:r>
      <w:r>
        <w:t xml:space="preserve">MADE, or its nominated representative bound by confidentiality, may audit Distributor’s facilities, storage, cold-chain, complaint, know-your-customer, sampling, Database, traceability, sub-distributor, and distribution records for compliance with this Agreement.</w:t>
      </w:r>
    </w:p>
    <w:p>
      <w:pPr>
        <w:pStyle w:val="BodyText"/>
      </w:pPr>
      <w:r>
        <w:rPr>
          <w:b/>
          <w:bCs/>
        </w:rPr>
        <w:t xml:space="preserve">24.2 Frequency and Notice.</w:t>
      </w:r>
      <w:r>
        <w:t xml:space="preserve"> </w:t>
      </w:r>
      <w:r>
        <w:t xml:space="preserve">Audits may be conducted</w:t>
      </w:r>
      <w:r>
        <w:t xml:space="preserve"> </w:t>
      </w:r>
      <w:r>
        <w:rPr>
          <w:b/>
          <w:bCs/>
        </w:rPr>
        <w:t xml:space="preserve">once per calendar year on ten (10) Business Days’ notice</w:t>
      </w:r>
      <w:r>
        <w:t xml:space="preserve">, and</w:t>
      </w:r>
      <w:r>
        <w:t xml:space="preserve"> </w:t>
      </w:r>
      <w:r>
        <w:rPr>
          <w:b/>
          <w:bCs/>
        </w:rPr>
        <w:t xml:space="preserve">at any time on forty-eight (48) hours’ notice for cause</w:t>
      </w:r>
      <w:r>
        <w:t xml:space="preserve">, including following a quality or safety event, a suspected Prohibited Clinical Use, or a suspected breach of Section 28 or 36.</w:t>
      </w:r>
    </w:p>
    <w:p>
      <w:pPr>
        <w:pStyle w:val="BodyText"/>
      </w:pPr>
      <w:r>
        <w:rPr>
          <w:b/>
          <w:bCs/>
        </w:rPr>
        <w:t xml:space="preserve">24.3 Compliance Records.</w:t>
      </w:r>
      <w:r>
        <w:t xml:space="preserve"> </w:t>
      </w:r>
      <w:r>
        <w:t xml:space="preserve">MADE may inspect and audit Distributor’s books, records, sample logs, sub-distributor arrangements, and customer records relevant to Section 36 during the Term and for</w:t>
      </w:r>
      <w:r>
        <w:t xml:space="preserve"> </w:t>
      </w:r>
      <w:r>
        <w:rPr>
          <w:b/>
          <w:bCs/>
        </w:rPr>
        <w:t xml:space="preserve">three (3) years</w:t>
      </w:r>
      <w:r>
        <w:t xml:space="preserve"> </w:t>
      </w:r>
      <w:r>
        <w:t xml:space="preserve">thereafter.</w:t>
      </w:r>
    </w:p>
    <w:p>
      <w:pPr>
        <w:pStyle w:val="BodyText"/>
      </w:pPr>
      <w:r>
        <w:rPr>
          <w:b/>
          <w:bCs/>
        </w:rPr>
        <w:t xml:space="preserve">24.4 Corrective Action.</w:t>
      </w:r>
      <w:r>
        <w:t xml:space="preserve"> </w:t>
      </w:r>
      <w:r>
        <w:t xml:space="preserve">Distributor shall remediate audit findings within the timeframe the Parties agree, and shall include equivalent audit rights in each sub-distributor agreement.</w:t>
      </w:r>
    </w:p>
    <w:p>
      <w:pPr>
        <w:pStyle w:val="BodyText"/>
      </w:pPr>
      <w:r>
        <w:rPr>
          <w:b/>
          <w:bCs/>
        </w:rPr>
        <w:t xml:space="preserve">24.5 Costs.</w:t>
      </w:r>
      <w:r>
        <w:t xml:space="preserve"> </w:t>
      </w:r>
      <w:r>
        <w:t xml:space="preserve">Each Party bears its own audit costs, save that Distributor shall reimburse MADE’s reasonable costs where an audit reveals a material breach.</w:t>
      </w:r>
    </w:p>
    <w:p>
      <w:r>
        <w:pict>
          <v:rect style="width:0;height:1.5pt" o:hralign="center" o:hrstd="t" o:hr="t"/>
        </w:pict>
      </w:r>
    </w:p>
    <w:bookmarkEnd w:id="37"/>
    <w:bookmarkStart w:id="38" w:name="sampling"/>
    <w:p>
      <w:pPr>
        <w:pStyle w:val="Heading1"/>
      </w:pPr>
      <w:r>
        <w:t xml:space="preserve">25. SAMPLING</w:t>
      </w:r>
    </w:p>
    <w:p>
      <w:pPr>
        <w:pStyle w:val="FirstParagraph"/>
      </w:pPr>
      <w:r>
        <w:rPr>
          <w:b/>
          <w:bCs/>
        </w:rPr>
        <w:t xml:space="preserve">25.1 Programme.</w:t>
      </w:r>
      <w:r>
        <w:t xml:space="preserve"> </w:t>
      </w:r>
      <w:r>
        <w:t xml:space="preserve">MADE may supply sample units of Product (</w:t>
      </w:r>
      <w:r>
        <w:t xml:space="preserve">“</w:t>
      </w:r>
      <w:r>
        <w:rPr>
          <w:b/>
          <w:bCs/>
        </w:rPr>
        <w:t xml:space="preserve">Samples</w:t>
      </w:r>
      <w:r>
        <w:t xml:space="preserve">”</w:t>
      </w:r>
      <w:r>
        <w:t xml:space="preserve">) on the basis set out in Schedule G, namely</w:t>
      </w:r>
      <w:r>
        <w:t xml:space="preserve"> </w:t>
      </w:r>
      <w:r>
        <w:rPr>
          <w:rStyle w:val="VerbatimChar"/>
        </w:rPr>
        <w:t xml:space="preserve">[N]</w:t>
      </w:r>
      <w:r>
        <w:t xml:space="preserve"> </w:t>
      </w:r>
      <w:r>
        <w:t xml:space="preserve">Sample units for each</w:t>
      </w:r>
      <w:r>
        <w:t xml:space="preserve"> </w:t>
      </w:r>
      <w:r>
        <w:rPr>
          <w:rStyle w:val="VerbatimChar"/>
        </w:rPr>
        <w:t xml:space="preserve">[US$X]</w:t>
      </w:r>
      <w:r>
        <w:t xml:space="preserve"> </w:t>
      </w:r>
      <w:r>
        <w:t xml:space="preserve">of Committed Orders or recurring order value, subject to the per-account and aggregate caps in Schedule G.</w:t>
      </w:r>
    </w:p>
    <w:p>
      <w:pPr>
        <w:pStyle w:val="BodyText"/>
      </w:pPr>
      <w:r>
        <w:rPr>
          <w:b/>
          <w:bCs/>
        </w:rPr>
        <w:t xml:space="preserve">25.2 Case-by-Case Samples.</w:t>
      </w:r>
      <w:r>
        <w:t xml:space="preserve"> </w:t>
      </w:r>
      <w:r>
        <w:t xml:space="preserve">MADE may supply additional Samples on a case-by-case basis, in its sole discretion.</w:t>
      </w:r>
      <w:r>
        <w:t xml:space="preserve"> </w:t>
      </w:r>
      <w:r>
        <w:rPr>
          <w:b/>
          <w:bCs/>
        </w:rPr>
        <w:t xml:space="preserve">The sampling programme is a discretionary commercial accommodation, not an entitlement.</w:t>
      </w:r>
    </w:p>
    <w:p>
      <w:pPr>
        <w:pStyle w:val="BodyText"/>
      </w:pPr>
      <w:r>
        <w:rPr>
          <w:b/>
          <w:bCs/>
        </w:rPr>
        <w:t xml:space="preserve">25.3 Not Consideration for Referrals.</w:t>
      </w:r>
      <w:r>
        <w:t xml:space="preserve"> </w:t>
      </w:r>
      <w:r>
        <w:t xml:space="preserve">Samples are not consideration for, and are not conditioned upon, any referral, purchase, order, prescription, or recommendation by any customer, and in particular by any government, state-hospital, publicly funded, or reimbursed customer.</w:t>
      </w:r>
    </w:p>
    <w:p>
      <w:pPr>
        <w:pStyle w:val="BodyText"/>
      </w:pPr>
      <w:r>
        <w:rPr>
          <w:b/>
          <w:bCs/>
        </w:rPr>
        <w:t xml:space="preserve">25.4 Written Request; Records; Reconciliation.</w:t>
      </w:r>
      <w:r>
        <w:t xml:space="preserve"> </w:t>
      </w:r>
      <w:r>
        <w:t xml:space="preserve">Each Sample shipment requires a</w:t>
      </w:r>
      <w:r>
        <w:t xml:space="preserve"> </w:t>
      </w:r>
      <w:r>
        <w:rPr>
          <w:b/>
          <w:bCs/>
        </w:rPr>
        <w:t xml:space="preserve">written request</w:t>
      </w:r>
      <w:r>
        <w:t xml:space="preserve"> </w:t>
      </w:r>
      <w:r>
        <w:t xml:space="preserve">from the receiving account and a</w:t>
      </w:r>
      <w:r>
        <w:t xml:space="preserve"> </w:t>
      </w:r>
      <w:r>
        <w:rPr>
          <w:b/>
          <w:bCs/>
        </w:rPr>
        <w:t xml:space="preserve">signed receipt</w:t>
      </w:r>
      <w:r>
        <w:t xml:space="preserve">. Distributor shall maintain complete lot-level records of all Samples received, held, and distributed, shall reconcile them at least quarterly, and shall make the records available for MADE’s audit.</w:t>
      </w:r>
    </w:p>
    <w:p>
      <w:pPr>
        <w:pStyle w:val="BodyText"/>
      </w:pPr>
      <w:r>
        <w:rPr>
          <w:b/>
          <w:bCs/>
        </w:rPr>
        <w:t xml:space="preserve">25.5 Labelling; No Resale; No Human Use.</w:t>
      </w:r>
      <w:r>
        <w:t xml:space="preserve"> </w:t>
      </w:r>
      <w:r>
        <w:t xml:space="preserve">Samples shall be conspicuously labelled</w:t>
      </w:r>
      <w:r>
        <w:t xml:space="preserve"> </w:t>
      </w:r>
      <w:r>
        <w:t xml:space="preserve">“</w:t>
      </w:r>
      <w:r>
        <w:rPr>
          <w:b/>
          <w:bCs/>
        </w:rPr>
        <w:t xml:space="preserve">SAMPLE — NOT FOR RESALE</w:t>
      </w:r>
      <w:r>
        <w:t xml:space="preserve">”</w:t>
      </w:r>
      <w:r>
        <w:t xml:space="preserve"> </w:t>
      </w:r>
      <w:r>
        <w:t xml:space="preserve">in addition to the RUO Legend.</w:t>
      </w:r>
      <w:r>
        <w:t xml:space="preserve"> </w:t>
      </w:r>
      <w:r>
        <w:rPr>
          <w:b/>
          <w:bCs/>
        </w:rPr>
        <w:t xml:space="preserve">Distributor shall not sell, purchase, trade, barter, or offer to sell any Sample</w:t>
      </w:r>
      <w:r>
        <w:t xml:space="preserve">, and shall not supply any Sample for any Prohibited Clinical Use.</w:t>
      </w:r>
    </w:p>
    <w:p>
      <w:pPr>
        <w:pStyle w:val="BodyText"/>
      </w:pPr>
      <w:r>
        <w:rPr>
          <w:b/>
          <w:bCs/>
        </w:rPr>
        <w:t xml:space="preserve">25.6 Abuse Tripwire.</w:t>
      </w:r>
      <w:r>
        <w:t xml:space="preserve"> </w:t>
      </w:r>
      <w:r>
        <w:t xml:space="preserve">MADE monitors Sample-to-order ratios and Sample volumes.</w:t>
      </w:r>
      <w:r>
        <w:t xml:space="preserve"> </w:t>
      </w:r>
      <w:r>
        <w:rPr>
          <w:b/>
          <w:bCs/>
        </w:rPr>
        <w:t xml:space="preserve">Anomalous patterns — including Sample requests disproportionate to Committed Orders, sudden volume spikes, concentration in a small number of accounts, or any evidence of resale or diversion — entitle MADE to suspend or terminate the sampling programme immediately, to require the return or documented destruction of Samples, and to treat the pattern as a material breach of this Agreement.</w:t>
      </w:r>
    </w:p>
    <w:p>
      <w:pPr>
        <w:pStyle w:val="BodyText"/>
      </w:pPr>
      <w:r>
        <w:rPr>
          <w:b/>
          <w:bCs/>
        </w:rPr>
        <w:t xml:space="preserve">25.7 Samples Excluded.</w:t>
      </w:r>
      <w:r>
        <w:t xml:space="preserve"> </w:t>
      </w:r>
      <w:r>
        <w:t xml:space="preserve">Samples do not count towards the Minimum Purchase Commitment or Qualifying Units, and are supplied without warranty of any kind beyond Section 32.2.</w:t>
      </w:r>
    </w:p>
    <w:p>
      <w:r>
        <w:pict>
          <v:rect style="width:0;height:1.5pt" o:hralign="center" o:hrstd="t" o:hr="t"/>
        </w:pict>
      </w:r>
    </w:p>
    <w:bookmarkEnd w:id="38"/>
    <w:bookmarkStart w:id="39" w:name="trademarks-custom-labeling-white-label"/>
    <w:p>
      <w:pPr>
        <w:pStyle w:val="Heading1"/>
      </w:pPr>
      <w:r>
        <w:t xml:space="preserve">26. TRADEMARKS; CUSTOM LABELING; WHITE LABEL</w:t>
      </w:r>
    </w:p>
    <w:p>
      <w:pPr>
        <w:pStyle w:val="FirstParagraph"/>
      </w:pPr>
      <w:r>
        <w:rPr>
          <w:b/>
          <w:bCs/>
        </w:rPr>
        <w:t xml:space="preserve">26.1 Licence of MADE Marks.</w:t>
      </w:r>
      <w:r>
        <w:t xml:space="preserve"> </w:t>
      </w:r>
      <w:r>
        <w:t xml:space="preserve">MADE grants Distributor a limited, non-exclusive, non-transferable, revocable, royalty-free licence to use the MADE Marks in the Territory during the Term</w:t>
      </w:r>
      <w:r>
        <w:t xml:space="preserve"> </w:t>
      </w:r>
      <w:r>
        <w:rPr>
          <w:b/>
          <w:bCs/>
        </w:rPr>
        <w:t xml:space="preserve">solely</w:t>
      </w:r>
      <w:r>
        <w:t xml:space="preserve"> </w:t>
      </w:r>
      <w:r>
        <w:t xml:space="preserve">to advertise, market, and resell the Products in accordance with this Agreement and MADE’s brand guidelines.</w:t>
      </w:r>
    </w:p>
    <w:p>
      <w:pPr>
        <w:pStyle w:val="BodyText"/>
      </w:pPr>
      <w:r>
        <w:rPr>
          <w:b/>
          <w:bCs/>
        </w:rPr>
        <w:t xml:space="preserve">26.2 Quality Control (MADE Marks).</w:t>
      </w:r>
      <w:r>
        <w:t xml:space="preserve"> </w:t>
      </w:r>
      <w:r>
        <w:t xml:space="preserve">Distributor shall use the MADE Marks only in the form and manner MADE approves.</w:t>
      </w:r>
      <w:r>
        <w:t xml:space="preserve"> </w:t>
      </w:r>
      <w:r>
        <w:rPr>
          <w:b/>
          <w:bCs/>
        </w:rPr>
        <w:t xml:space="preserve">Distributor shall submit all materials bearing the MADE Marks to MADE for prior written approval</w:t>
      </w:r>
      <w:r>
        <w:t xml:space="preserve">, shall not modify them, and shall comply with MADE’s reasonable directions. MADE may inspect Distributor’s use of the MADE Marks and require correction. All goodwill in the MADE Marks inures solely to MADE.</w:t>
      </w:r>
    </w:p>
    <w:p>
      <w:pPr>
        <w:pStyle w:val="BodyText"/>
      </w:pPr>
      <w:r>
        <w:rPr>
          <w:b/>
          <w:bCs/>
        </w:rPr>
        <w:t xml:space="preserve">26.3 Licence of Distributor Marks.</w:t>
      </w:r>
      <w:r>
        <w:t xml:space="preserve"> </w:t>
      </w:r>
      <w:r>
        <w:t xml:space="preserve">Where Schedule H provides for Custom Labeling or White Label Products, Distributor grants MADE a limited, non-exclusive, royalty-free licence to apply the Distributor Marks to Product labels or secondary packaging solely to fulfil Distributor’s Purchase Orders.</w:t>
      </w:r>
      <w:r>
        <w:t xml:space="preserve"> </w:t>
      </w:r>
      <w:r>
        <w:rPr>
          <w:b/>
          <w:bCs/>
        </w:rPr>
        <w:t xml:space="preserve">Distributor, as owner of the Distributor Marks, retains the right and the obligation to control the quality of goods bearing them</w:t>
      </w:r>
      <w:r>
        <w:t xml:space="preserve">, and shall approve artwork, specifications, and first articles in accordance with Schedule H.</w:t>
      </w:r>
    </w:p>
    <w:p>
      <w:pPr>
        <w:pStyle w:val="BodyText"/>
      </w:pPr>
      <w:r>
        <w:rPr>
          <w:b/>
          <w:bCs/>
        </w:rPr>
        <w:t xml:space="preserve">26.4 Custom Labeling and White Label Conditions.</w:t>
      </w:r>
      <w:r>
        <w:t xml:space="preserve"> </w:t>
      </w:r>
      <w:r>
        <w:t xml:space="preserve">Custom Labeling and White Label Products are available only (a) on the committed volumes stated in Schedule H; (b) subject to MADE’s minimum order quantities, artwork lead times, plate and set-up charges, and change-order process; and (c) on the condition that</w:t>
      </w:r>
      <w:r>
        <w:t xml:space="preserve"> </w:t>
      </w:r>
      <w:r>
        <w:rPr>
          <w:b/>
          <w:bCs/>
        </w:rPr>
        <w:t xml:space="preserve">the RUO Legend, lot number, expiry date, storage conditions, and all dangerous-goods marking appear unaltered</w:t>
      </w:r>
      <w:r>
        <w:t xml:space="preserve"> </w:t>
      </w:r>
      <w:r>
        <w:t xml:space="preserve">on every label and package.</w:t>
      </w:r>
    </w:p>
    <w:p>
      <w:pPr>
        <w:pStyle w:val="BodyText"/>
      </w:pPr>
      <w:r>
        <w:rPr>
          <w:b/>
          <w:bCs/>
        </w:rPr>
        <w:t xml:space="preserve">26.5 Apparent Manufacturer; Allocation of Risk.</w:t>
      </w:r>
      <w:r>
        <w:t xml:space="preserve"> </w:t>
      </w:r>
      <w:r>
        <w:rPr>
          <w:b/>
          <w:bCs/>
        </w:rPr>
        <w:t xml:space="preserve">Distributor acknowledges that, by placing the Distributor Marks on a Product or its packaging, Distributor may be treated at law as an apparent manufacturer of that Product and may incur the liabilities of a manufacturer.</w:t>
      </w:r>
      <w:r>
        <w:t xml:space="preserve"> </w:t>
      </w:r>
      <w:r>
        <w:t xml:space="preserve">Distributor accepts that risk, and Distributor’s indemnity under Section 34.2 extends to all Losses arising from the presence of the Distributor Marks on any Product.</w:t>
      </w:r>
    </w:p>
    <w:p>
      <w:pPr>
        <w:pStyle w:val="BodyText"/>
      </w:pPr>
      <w:r>
        <w:rPr>
          <w:b/>
          <w:bCs/>
        </w:rPr>
        <w:t xml:space="preserve">26.6 No Challenge; No Registration.</w:t>
      </w:r>
      <w:r>
        <w:t xml:space="preserve"> </w:t>
      </w:r>
      <w:r>
        <w:t xml:space="preserve">Neither Party shall (a) challenge or assist any person to challenge the other’s ownership or validity of the other’s marks; or (b) register, or apply to register, the other’s marks, or any confusingly similar mark or domain name, in any jurisdiction. Distributor shall not use the MADE Marks in its corporate name, trading name, or domain name.</w:t>
      </w:r>
    </w:p>
    <w:p>
      <w:pPr>
        <w:pStyle w:val="BodyText"/>
      </w:pPr>
      <w:r>
        <w:rPr>
          <w:b/>
          <w:bCs/>
        </w:rPr>
        <w:t xml:space="preserve">26.7 Cessation.</w:t>
      </w:r>
      <w:r>
        <w:t xml:space="preserve"> </w:t>
      </w:r>
      <w:r>
        <w:t xml:space="preserve">On expiry or termination, each Party’s licence under this Section ends immediately, save that Distributor may use the MADE Marks solely as necessary to sell off inventory under Section 39.3. Distributor shall thereafter cease all use of the MADE Marks and, at MADE’s election, deliver up or destroy all materials bearing them.</w:t>
      </w:r>
    </w:p>
    <w:p>
      <w:pPr>
        <w:pStyle w:val="BodyText"/>
      </w:pPr>
      <w:r>
        <w:rPr>
          <w:b/>
          <w:bCs/>
        </w:rPr>
        <w:t xml:space="preserve">26.8 Reversion of Custom Inventory.</w:t>
      </w:r>
      <w:r>
        <w:t xml:space="preserve"> </w:t>
      </w:r>
      <w:r>
        <w:t xml:space="preserve">MADE shall not be obliged to purchase, and shall not be liable for, any Product bearing Distributor Marks that remains in MADE’s possession on termination. Distributor shall purchase all such Product, and all unused labels and packaging bearing the Distributor Marks, at cost.</w:t>
      </w:r>
    </w:p>
    <w:p>
      <w:r>
        <w:pict>
          <v:rect style="width:0;height:1.5pt" o:hralign="center" o:hrstd="t" o:hr="t"/>
        </w:pict>
      </w:r>
    </w:p>
    <w:bookmarkEnd w:id="39"/>
    <w:bookmarkStart w:id="40" w:name="custom-products-and-configurations"/>
    <w:p>
      <w:pPr>
        <w:pStyle w:val="Heading1"/>
      </w:pPr>
      <w:r>
        <w:t xml:space="preserve">27. CUSTOM PRODUCTS AND CONFIGURATIONS</w:t>
      </w:r>
    </w:p>
    <w:p>
      <w:pPr>
        <w:pStyle w:val="FirstParagraph"/>
      </w:pPr>
      <w:r>
        <w:rPr>
          <w:b/>
          <w:bCs/>
        </w:rPr>
        <w:t xml:space="preserve">27.1 Availability.</w:t>
      </w:r>
      <w:r>
        <w:t xml:space="preserve"> </w:t>
      </w:r>
      <w:r>
        <w:t xml:space="preserve">MADE may, at its discretion, manufacture custom products, and supply Products in custom configurations (including alternative vials, cryobags, fill volumes, cell counts, and branded packaging), on a case-by-case basis.</w:t>
      </w:r>
    </w:p>
    <w:p>
      <w:pPr>
        <w:pStyle w:val="BodyText"/>
      </w:pPr>
      <w:r>
        <w:rPr>
          <w:b/>
          <w:bCs/>
        </w:rPr>
        <w:t xml:space="preserve">27.2 Change Order.</w:t>
      </w:r>
      <w:r>
        <w:t xml:space="preserve"> </w:t>
      </w:r>
      <w:r>
        <w:t xml:space="preserve">Each custom product or configuration shall be documented in a</w:t>
      </w:r>
      <w:r>
        <w:t xml:space="preserve"> </w:t>
      </w:r>
      <w:r>
        <w:rPr>
          <w:b/>
          <w:bCs/>
        </w:rPr>
        <w:t xml:space="preserve">Change Order</w:t>
      </w:r>
      <w:r>
        <w:t xml:space="preserve"> </w:t>
      </w:r>
      <w:r>
        <w:t xml:space="preserve">executed by both Parties, specifying the specification, presentation, minimum order quantity, committed volume, development and set-up charges, unit price, lead time, shelf life, and any additional testing. On execution, the Change Order forms part of this Agreement and the resulting item is a Product.</w:t>
      </w:r>
    </w:p>
    <w:p>
      <w:pPr>
        <w:pStyle w:val="BodyText"/>
      </w:pPr>
      <w:r>
        <w:rPr>
          <w:b/>
          <w:bCs/>
        </w:rPr>
        <w:t xml:space="preserve">27.3 Development Costs and Commitment.</w:t>
      </w:r>
      <w:r>
        <w:t xml:space="preserve"> </w:t>
      </w:r>
      <w:r>
        <w:t xml:space="preserve">Distributor shall pay all non-recurring development, qualification, artwork, tooling, and set-up charges, and shall commit to the minimum volume, in each case as stated in the Change Order.</w:t>
      </w:r>
      <w:r>
        <w:t xml:space="preserve"> </w:t>
      </w:r>
      <w:r>
        <w:rPr>
          <w:b/>
          <w:bCs/>
        </w:rPr>
        <w:t xml:space="preserve">Custom Products and Custom Configurations are non-cancellable once manufacture has commenced and are non-returnable.</w:t>
      </w:r>
    </w:p>
    <w:p>
      <w:pPr>
        <w:pStyle w:val="BodyText"/>
      </w:pPr>
      <w:r>
        <w:rPr>
          <w:b/>
          <w:bCs/>
        </w:rPr>
        <w:t xml:space="preserve">27.4 Ownership.</w:t>
      </w:r>
      <w:r>
        <w:t xml:space="preserve"> </w:t>
      </w:r>
      <w:r>
        <w:t xml:space="preserve">All intellectual property in the Products, in MADE’s manufacturing processes, and in any improvement, know-how, data, or result arising from the development of a custom product or configuration,</w:t>
      </w:r>
      <w:r>
        <w:t xml:space="preserve"> </w:t>
      </w:r>
      <w:r>
        <w:rPr>
          <w:b/>
          <w:bCs/>
        </w:rPr>
        <w:t xml:space="preserve">vests in and remains with MADE</w:t>
      </w:r>
      <w:r>
        <w:t xml:space="preserve">, save for the Distributor Marks and any Distributor Confidential Information supplied to MADE.</w:t>
      </w:r>
    </w:p>
    <w:p>
      <w:pPr>
        <w:pStyle w:val="BodyText"/>
      </w:pPr>
      <w:r>
        <w:rPr>
          <w:b/>
          <w:bCs/>
        </w:rPr>
        <w:t xml:space="preserve">27.5 New Products.</w:t>
      </w:r>
      <w:r>
        <w:t xml:space="preserve"> </w:t>
      </w:r>
      <w:r>
        <w:t xml:space="preserve">MADE may add Products to Schedule A by written notice. Products added to Schedule A are supplied on the terms of this Agreement and are automatically subject to Section 17.</w:t>
      </w:r>
    </w:p>
    <w:p>
      <w:r>
        <w:pict>
          <v:rect style="width:0;height:1.5pt" o:hralign="center" o:hrstd="t" o:hr="t"/>
        </w:pict>
      </w:r>
    </w:p>
    <w:bookmarkEnd w:id="40"/>
    <w:bookmarkStart w:id="41" w:name="accounts-and-contacts-database"/>
    <w:p>
      <w:pPr>
        <w:pStyle w:val="Heading1"/>
      </w:pPr>
      <w:r>
        <w:t xml:space="preserve">28. ACCOUNTS AND CONTACTS DATABASE</w:t>
      </w:r>
    </w:p>
    <w:p>
      <w:pPr>
        <w:pStyle w:val="FirstParagraph"/>
      </w:pPr>
      <w:r>
        <w:rPr>
          <w:b/>
          <w:bCs/>
        </w:rPr>
        <w:t xml:space="preserve">28.1 Licence.</w:t>
      </w:r>
      <w:r>
        <w:t xml:space="preserve"> </w:t>
      </w:r>
      <w:r>
        <w:t xml:space="preserve">MADE grants Distributor a limited, non-exclusive, non-transferable, non-sub-licensable,</w:t>
      </w:r>
      <w:r>
        <w:t xml:space="preserve"> </w:t>
      </w:r>
      <w:r>
        <w:rPr>
          <w:b/>
          <w:bCs/>
        </w:rPr>
        <w:t xml:space="preserve">revocable</w:t>
      </w:r>
      <w:r>
        <w:t xml:space="preserve"> </w:t>
      </w:r>
      <w:r>
        <w:t xml:space="preserve">licence to access and use the Database</w:t>
      </w:r>
      <w:r>
        <w:t xml:space="preserve"> </w:t>
      </w:r>
      <w:r>
        <w:rPr>
          <w:b/>
          <w:bCs/>
        </w:rPr>
        <w:t xml:space="preserve">solely</w:t>
      </w:r>
      <w:r>
        <w:t xml:space="preserve"> </w:t>
      </w:r>
      <w:r>
        <w:t xml:space="preserve">to market and sell the Products within the Territory during the Term (the</w:t>
      </w:r>
      <w:r>
        <w:t xml:space="preserve"> </w:t>
      </w:r>
      <w:r>
        <w:t xml:space="preserve">“</w:t>
      </w:r>
      <w:r>
        <w:rPr>
          <w:b/>
          <w:bCs/>
        </w:rPr>
        <w:t xml:space="preserve">Permitted Purpose</w:t>
      </w:r>
      <w:r>
        <w:t xml:space="preserve">”</w:t>
      </w:r>
      <w:r>
        <w:t xml:space="preserve">).</w:t>
      </w:r>
    </w:p>
    <w:p>
      <w:pPr>
        <w:pStyle w:val="BodyText"/>
      </w:pPr>
      <w:r>
        <w:rPr>
          <w:b/>
          <w:bCs/>
        </w:rPr>
        <w:t xml:space="preserve">28.2 Restrictions.</w:t>
      </w:r>
      <w:r>
        <w:t xml:space="preserve"> </w:t>
      </w:r>
      <w:r>
        <w:t xml:space="preserve">Distributor shall not: (a) use the Database for any purpose other than the Permitted Purpose; (b) sell, licence, sub-licence, disclose, publish, or transfer the Database or any part of it to any person; (c) copy, extract, or retain the Database except as strictly necessary for the Permitted Purpose; (d) use any contact in the Database for marketing any product other than the Products, or after termination; (e) scrape, re-utilise, or extract a substantial part of the Database, or create any derivative, enriched, or combined database from it; or (f) reverse-engineer its structure, selection, or arrangement.</w:t>
      </w:r>
    </w:p>
    <w:p>
      <w:pPr>
        <w:pStyle w:val="BodyText"/>
      </w:pPr>
      <w:r>
        <w:rPr>
          <w:b/>
          <w:bCs/>
        </w:rPr>
        <w:t xml:space="preserve">28.3 Status.</w:t>
      </w:r>
      <w:r>
        <w:t xml:space="preserve"> </w:t>
      </w:r>
      <w:r>
        <w:t xml:space="preserve">The Database is MADE’s</w:t>
      </w:r>
      <w:r>
        <w:t xml:space="preserve"> </w:t>
      </w:r>
      <w:r>
        <w:rPr>
          <w:b/>
          <w:bCs/>
        </w:rPr>
        <w:t xml:space="preserve">Confidential Information and trade secret</w:t>
      </w:r>
      <w:r>
        <w:t xml:space="preserve">, and, in jurisdictions recognising a sui generis database right, MADE’s protected database. Nothing in this Agreement transfers any right in it.</w:t>
      </w:r>
    </w:p>
    <w:p>
      <w:pPr>
        <w:pStyle w:val="BodyText"/>
      </w:pPr>
      <w:r>
        <w:rPr>
          <w:b/>
          <w:bCs/>
        </w:rPr>
        <w:t xml:space="preserve">28.4 Deletion.</w:t>
      </w:r>
      <w:r>
        <w:t xml:space="preserve"> </w:t>
      </w:r>
      <w:r>
        <w:t xml:space="preserve">On expiry or termination, Distributor shall immediately cease all use of the Database and shall permanently delete or return it, together with all copies, extracts, and derivatives, within</w:t>
      </w:r>
      <w:r>
        <w:t xml:space="preserve"> </w:t>
      </w:r>
      <w:r>
        <w:rPr>
          <w:b/>
          <w:bCs/>
        </w:rPr>
        <w:t xml:space="preserve">thirty (30) days</w:t>
      </w:r>
      <w:r>
        <w:t xml:space="preserve">, and shall certify deletion in writing signed by an officer.</w:t>
      </w:r>
    </w:p>
    <w:p>
      <w:pPr>
        <w:pStyle w:val="BodyText"/>
      </w:pPr>
      <w:r>
        <w:rPr>
          <w:b/>
          <w:bCs/>
        </w:rPr>
        <w:t xml:space="preserve">28.5 Security and Breach.</w:t>
      </w:r>
      <w:r>
        <w:t xml:space="preserve"> </w:t>
      </w:r>
      <w:r>
        <w:t xml:space="preserve">Distributor shall protect the Database with appropriate technical and organisational measures and shall notify MADE without undue delay, and in any event within</w:t>
      </w:r>
      <w:r>
        <w:t xml:space="preserve"> </w:t>
      </w:r>
      <w:r>
        <w:rPr>
          <w:b/>
          <w:bCs/>
        </w:rPr>
        <w:t xml:space="preserve">forty-eight (48) hours</w:t>
      </w:r>
      <w:r>
        <w:t xml:space="preserve">, of any actual or suspected unauthorised access, use, or disclosure.</w:t>
      </w:r>
    </w:p>
    <w:p>
      <w:pPr>
        <w:pStyle w:val="BodyText"/>
      </w:pPr>
      <w:r>
        <w:rPr>
          <w:b/>
          <w:bCs/>
        </w:rPr>
        <w:t xml:space="preserve">28.6 Data Protection.</w:t>
      </w:r>
      <w:r>
        <w:t xml:space="preserve"> </w:t>
      </w:r>
      <w:r>
        <w:t xml:space="preserve">The Parties shall comply with</w:t>
      </w:r>
      <w:r>
        <w:t xml:space="preserve"> </w:t>
      </w:r>
      <w:r>
        <w:rPr>
          <w:b/>
          <w:bCs/>
        </w:rPr>
        <w:t xml:space="preserve">Schedule I (Data Protection)</w:t>
      </w:r>
      <w:r>
        <w:t xml:space="preserve">, under which each Party acts as an independent controller in respect of personal data in the Database.</w:t>
      </w:r>
    </w:p>
    <w:p>
      <w:pPr>
        <w:pStyle w:val="BodyText"/>
      </w:pPr>
      <w:r>
        <w:rPr>
          <w:b/>
          <w:bCs/>
        </w:rPr>
        <w:t xml:space="preserve">28.7 Indemnity and Audit.</w:t>
      </w:r>
      <w:r>
        <w:t xml:space="preserve"> </w:t>
      </w:r>
      <w:r>
        <w:t xml:space="preserve">Distributor shall indemnify MADE against all Losses arising from Distributor’s unauthorised use or disclosure of the Database or its breach of Schedule I. MADE may audit compliance with this Section under Section 24.</w:t>
      </w:r>
    </w:p>
    <w:p>
      <w:pPr>
        <w:pStyle w:val="BodyText"/>
      </w:pPr>
      <w:r>
        <w:rPr>
          <w:b/>
          <w:bCs/>
        </w:rPr>
        <w:t xml:space="preserve">28.8 Liquidated Damages.</w:t>
      </w:r>
      <w:r>
        <w:t xml:space="preserve"> </w:t>
      </w:r>
      <w:r>
        <w:rPr>
          <w:rStyle w:val="VerbatimChar"/>
        </w:rPr>
        <w:t xml:space="preserve">[The Parties agree that a breach of Section 28.2(b) or (e) would cause MADE loss that is difficult to quantify, and that US$[____] per affected record is a reasonable pre-estimate of that loss and not a penalty.]</w:t>
      </w:r>
      <w:r>
        <w:t xml:space="preserve"> </w:t>
      </w:r>
      <w:r>
        <w:rPr>
          <w:i/>
          <w:iCs/>
        </w:rPr>
        <w:t xml:space="preserve">(Optional — verify enforceability under the governing law before including.)</w:t>
      </w:r>
    </w:p>
    <w:p>
      <w:r>
        <w:pict>
          <v:rect style="width:0;height:1.5pt" o:hralign="center" o:hrstd="t" o:hr="t"/>
        </w:pict>
      </w:r>
    </w:p>
    <w:bookmarkEnd w:id="41"/>
    <w:bookmarkStart w:id="42" w:name="confidentiality"/>
    <w:p>
      <w:pPr>
        <w:pStyle w:val="Heading1"/>
      </w:pPr>
      <w:r>
        <w:t xml:space="preserve">29. CONFIDENTIALITY</w:t>
      </w:r>
    </w:p>
    <w:p>
      <w:pPr>
        <w:pStyle w:val="FirstParagraph"/>
      </w:pPr>
      <w:r>
        <w:rPr>
          <w:b/>
          <w:bCs/>
        </w:rPr>
        <w:t xml:space="preserve">29.1 Definition.</w:t>
      </w:r>
      <w:r>
        <w:t xml:space="preserve"> </w:t>
      </w:r>
      <w:r>
        <w:t xml:space="preserve">“</w:t>
      </w:r>
      <w:r>
        <w:rPr>
          <w:b/>
          <w:bCs/>
        </w:rPr>
        <w:t xml:space="preserve">Confidential Information</w:t>
      </w:r>
      <w:r>
        <w:t xml:space="preserve">”</w:t>
      </w:r>
      <w:r>
        <w:t xml:space="preserve"> </w:t>
      </w:r>
      <w:r>
        <w:t xml:space="preserve">means all non-public information disclosed by or on behalf of a Party (</w:t>
      </w:r>
      <w:r>
        <w:t xml:space="preserve">“</w:t>
      </w:r>
      <w:r>
        <w:rPr>
          <w:b/>
          <w:bCs/>
        </w:rPr>
        <w:t xml:space="preserve">Discloser</w:t>
      </w:r>
      <w:r>
        <w:t xml:space="preserve">”</w:t>
      </w:r>
      <w:r>
        <w:t xml:space="preserve">) to the other (</w:t>
      </w:r>
      <w:r>
        <w:t xml:space="preserve">“</w:t>
      </w:r>
      <w:r>
        <w:rPr>
          <w:b/>
          <w:bCs/>
        </w:rPr>
        <w:t xml:space="preserve">Recipient</w:t>
      </w:r>
      <w:r>
        <w:t xml:space="preserve">”</w:t>
      </w:r>
      <w:r>
        <w:t xml:space="preserve">), in any form, that is designated confidential or that a reasonable person would understand to be confidential, including the Database, Specifications, batch and quality records, manufacturing processes, pricing, forecasts, customer lists, and the terms of this Agreement.</w:t>
      </w:r>
    </w:p>
    <w:p>
      <w:pPr>
        <w:pStyle w:val="BodyText"/>
      </w:pPr>
      <w:r>
        <w:rPr>
          <w:b/>
          <w:bCs/>
        </w:rPr>
        <w:t xml:space="preserve">29.2 Obligations.</w:t>
      </w:r>
      <w:r>
        <w:t xml:space="preserve"> </w:t>
      </w:r>
      <w:r>
        <w:t xml:space="preserve">Recipient shall (a) use Confidential Information solely to perform this Agreement; (b) protect it with no less than reasonable care and in any event the care it applies to its own confidential information; and (c) disclose it only to those of its personnel, professional advisers, and (with Discloser’s consent) sub-distributors who need to know it and who are bound by obligations no less protective.</w:t>
      </w:r>
    </w:p>
    <w:p>
      <w:pPr>
        <w:pStyle w:val="BodyText"/>
      </w:pPr>
      <w:r>
        <w:rPr>
          <w:b/>
          <w:bCs/>
        </w:rPr>
        <w:t xml:space="preserve">29.3 Exceptions.</w:t>
      </w:r>
      <w:r>
        <w:t xml:space="preserve"> </w:t>
      </w:r>
      <w:r>
        <w:t xml:space="preserve">The obligations do not apply to information that is or becomes public without breach, was known to Recipient free of obligation before disclosure, is lawfully received from a third party free of obligation, or is independently developed without use of the Confidential Information.</w:t>
      </w:r>
    </w:p>
    <w:p>
      <w:pPr>
        <w:pStyle w:val="BodyText"/>
      </w:pPr>
      <w:r>
        <w:rPr>
          <w:b/>
          <w:bCs/>
        </w:rPr>
        <w:t xml:space="preserve">29.4 Compelled Disclosure.</w:t>
      </w:r>
      <w:r>
        <w:t xml:space="preserve"> </w:t>
      </w:r>
      <w:r>
        <w:t xml:space="preserve">Recipient may disclose Confidential Information to the extent legally compelled, provided it gives Discloser prompt notice (where lawful) and reasonable assistance to seek protective treatment, and discloses only the minimum required.</w:t>
      </w:r>
    </w:p>
    <w:p>
      <w:pPr>
        <w:pStyle w:val="BodyText"/>
      </w:pPr>
      <w:r>
        <w:rPr>
          <w:b/>
          <w:bCs/>
        </w:rPr>
        <w:t xml:space="preserve">29.5 Duration.</w:t>
      </w:r>
      <w:r>
        <w:t xml:space="preserve"> </w:t>
      </w:r>
      <w:r>
        <w:t xml:space="preserve">The obligations survive for</w:t>
      </w:r>
      <w:r>
        <w:t xml:space="preserve"> </w:t>
      </w:r>
      <w:r>
        <w:rPr>
          <w:b/>
          <w:bCs/>
        </w:rPr>
        <w:t xml:space="preserve">five (5) years</w:t>
      </w:r>
      <w:r>
        <w:t xml:space="preserve"> </w:t>
      </w:r>
      <w:r>
        <w:t xml:space="preserve">after termination, and</w:t>
      </w:r>
      <w:r>
        <w:t xml:space="preserve"> </w:t>
      </w:r>
      <w:r>
        <w:rPr>
          <w:b/>
          <w:bCs/>
        </w:rPr>
        <w:t xml:space="preserve">indefinitely</w:t>
      </w:r>
      <w:r>
        <w:t xml:space="preserve"> </w:t>
      </w:r>
      <w:r>
        <w:t xml:space="preserve">in respect of the Database, trade secrets, and manufacturing know-how, for so long as they remain trade secrets.</w:t>
      </w:r>
    </w:p>
    <w:p>
      <w:pPr>
        <w:pStyle w:val="BodyText"/>
      </w:pPr>
      <w:r>
        <w:rPr>
          <w:b/>
          <w:bCs/>
        </w:rPr>
        <w:t xml:space="preserve">29.6 Return.</w:t>
      </w:r>
      <w:r>
        <w:t xml:space="preserve"> </w:t>
      </w:r>
      <w:r>
        <w:t xml:space="preserve">On termination or on request, Recipient shall return or destroy Confidential Information, save for one archival copy retained for legal compliance and copies in routine backup, which remain subject to this Section.</w:t>
      </w:r>
    </w:p>
    <w:p>
      <w:r>
        <w:pict>
          <v:rect style="width:0;height:1.5pt" o:hralign="center" o:hrstd="t" o:hr="t"/>
        </w:pict>
      </w:r>
    </w:p>
    <w:bookmarkEnd w:id="42"/>
    <w:bookmarkStart w:id="43" w:name="intellectual-property"/>
    <w:p>
      <w:pPr>
        <w:pStyle w:val="Heading1"/>
      </w:pPr>
      <w:r>
        <w:t xml:space="preserve">30. INTELLECTUAL PROPERTY</w:t>
      </w:r>
    </w:p>
    <w:p>
      <w:pPr>
        <w:pStyle w:val="FirstParagraph"/>
      </w:pPr>
      <w:r>
        <w:rPr>
          <w:b/>
          <w:bCs/>
        </w:rPr>
        <w:t xml:space="preserve">30.1 Ownership.</w:t>
      </w:r>
      <w:r>
        <w:t xml:space="preserve"> </w:t>
      </w:r>
      <w:r>
        <w:t xml:space="preserve">MADE owns and retains all intellectual property rights in and to the Products, the MADE Marks, the Specifications, the Database, and MADE’s manufacturing processes, know-how, cell banks, and data. Distributor owns and retains the Distributor Marks.</w:t>
      </w:r>
    </w:p>
    <w:p>
      <w:pPr>
        <w:pStyle w:val="BodyText"/>
      </w:pPr>
      <w:r>
        <w:rPr>
          <w:b/>
          <w:bCs/>
        </w:rPr>
        <w:t xml:space="preserve">30.2 No Implied Licence.</w:t>
      </w:r>
      <w:r>
        <w:t xml:space="preserve"> </w:t>
      </w:r>
      <w:r>
        <w:rPr>
          <w:b/>
          <w:bCs/>
        </w:rPr>
        <w:t xml:space="preserve">No licence is granted by implication, estoppel, or otherwise, except as expressly stated.</w:t>
      </w:r>
      <w:r>
        <w:t xml:space="preserve"> </w:t>
      </w:r>
      <w:r>
        <w:t xml:space="preserve">In particular, no licence is granted to make, have made, or reproduce any Product, or to use any Product other than for the Permitted Use.</w:t>
      </w:r>
    </w:p>
    <w:p>
      <w:pPr>
        <w:pStyle w:val="BodyText"/>
      </w:pPr>
      <w:r>
        <w:rPr>
          <w:b/>
          <w:bCs/>
        </w:rPr>
        <w:t xml:space="preserve">30.3 No Reverse Engineering.</w:t>
      </w:r>
      <w:r>
        <w:t xml:space="preserve"> </w:t>
      </w:r>
      <w:r>
        <w:t xml:space="preserve">Distributor shall not, and shall procure that its customers shall not, reverse engineer, deconstruct, sequence, characterise, culture, expand, propagate, passage, immortalise, or attempt to derive the composition, cell line, process, or manufacturing method of any Product, or use any Product to develop any competing product.</w:t>
      </w:r>
    </w:p>
    <w:p>
      <w:pPr>
        <w:pStyle w:val="BodyText"/>
      </w:pPr>
      <w:r>
        <w:rPr>
          <w:b/>
          <w:bCs/>
        </w:rPr>
        <w:t xml:space="preserve">30.4 Feedback.</w:t>
      </w:r>
      <w:r>
        <w:t xml:space="preserve"> </w:t>
      </w:r>
      <w:r>
        <w:t xml:space="preserve">Any feedback, suggestion, or improvement Distributor provides in respect of a Product is assigned to MADE, without charge.</w:t>
      </w:r>
    </w:p>
    <w:p>
      <w:pPr>
        <w:pStyle w:val="BodyText"/>
      </w:pPr>
      <w:r>
        <w:rPr>
          <w:b/>
          <w:bCs/>
        </w:rPr>
        <w:t xml:space="preserve">30.5 Infringement Notice.</w:t>
      </w:r>
      <w:r>
        <w:t xml:space="preserve"> </w:t>
      </w:r>
      <w:r>
        <w:t xml:space="preserve">Each Party shall notify the other promptly of any actual or suspected infringement of the MADE Marks or of MADE’s rights in the Products in the Territory.</w:t>
      </w:r>
      <w:r>
        <w:t xml:space="preserve"> </w:t>
      </w:r>
      <w:r>
        <w:rPr>
          <w:b/>
          <w:bCs/>
        </w:rPr>
        <w:t xml:space="preserve">MADE has the sole right, but no obligation, to take action.</w:t>
      </w:r>
      <w:r>
        <w:t xml:space="preserve"> </w:t>
      </w:r>
      <w:r>
        <w:t xml:space="preserve">Distributor shall provide reasonable assistance at MADE’s cost.</w:t>
      </w:r>
    </w:p>
    <w:p>
      <w:r>
        <w:pict>
          <v:rect style="width:0;height:1.5pt" o:hralign="center" o:hrstd="t" o:hr="t"/>
        </w:pict>
      </w:r>
    </w:p>
    <w:bookmarkEnd w:id="43"/>
    <w:bookmarkStart w:id="44" w:name="representations-and-warranties"/>
    <w:p>
      <w:pPr>
        <w:pStyle w:val="Heading1"/>
      </w:pPr>
      <w:r>
        <w:t xml:space="preserve">31. REPRESENTATIONS AND WARRANTIES</w:t>
      </w:r>
    </w:p>
    <w:p>
      <w:pPr>
        <w:pStyle w:val="FirstParagraph"/>
      </w:pPr>
      <w:r>
        <w:rPr>
          <w:b/>
          <w:bCs/>
        </w:rPr>
        <w:t xml:space="preserve">31.1 Mutual.</w:t>
      </w:r>
      <w:r>
        <w:t xml:space="preserve"> </w:t>
      </w:r>
      <w:r>
        <w:t xml:space="preserve">Each Party represents and warrants that it is duly organised and validly existing; that it has full power to enter into and perform this Agreement; that this Agreement is duly authorised and binding on it; and that its performance does not conflict with any other agreement or obligation.</w:t>
      </w:r>
    </w:p>
    <w:p>
      <w:pPr>
        <w:pStyle w:val="BodyText"/>
      </w:pPr>
      <w:r>
        <w:rPr>
          <w:b/>
          <w:bCs/>
        </w:rPr>
        <w:t xml:space="preserve">31.2 Distributor.</w:t>
      </w:r>
      <w:r>
        <w:t xml:space="preserve"> </w:t>
      </w:r>
      <w:r>
        <w:t xml:space="preserve">Distributor further represents, warrants, and covenants that:</w:t>
      </w:r>
    </w:p>
    <w:p>
      <w:pPr>
        <w:numPr>
          <w:ilvl w:val="0"/>
          <w:numId w:val="1013"/>
        </w:numPr>
      </w:pPr>
      <w:r>
        <w:t xml:space="preserve">it holds, and shall maintain, all licences, permits, registrations, and authorisations required to import, store, handle, market, and resell the Products in the Territory for the Permitted Use;</w:t>
      </w:r>
    </w:p>
    <w:p>
      <w:pPr>
        <w:numPr>
          <w:ilvl w:val="0"/>
          <w:numId w:val="1013"/>
        </w:numPr>
      </w:pPr>
      <w:r>
        <w:t xml:space="preserve">it has the technical competence, facilities, cold-chain capability, trained personnel, and financial resources to perform this Agreement;</w:t>
      </w:r>
    </w:p>
    <w:p>
      <w:pPr>
        <w:numPr>
          <w:ilvl w:val="0"/>
          <w:numId w:val="1013"/>
        </w:numPr>
      </w:pPr>
      <w:r>
        <w:t xml:space="preserve">it shall comply with all Applicable Law, and in particular Sections 17 and 36;</w:t>
      </w:r>
    </w:p>
    <w:p>
      <w:pPr>
        <w:numPr>
          <w:ilvl w:val="0"/>
          <w:numId w:val="1013"/>
        </w:numPr>
      </w:pPr>
      <w:r>
        <w:t xml:space="preserve">neither it nor any of its directors, officers, employees, owners, or sub-distributors is debarred, excluded, suspended, or otherwise ineligible to participate in any federal or state health care programme or federal procurement, or is a Sanctioned Party; and</w:t>
      </w:r>
    </w:p>
    <w:p>
      <w:pPr>
        <w:numPr>
          <w:ilvl w:val="0"/>
          <w:numId w:val="1013"/>
        </w:numPr>
      </w:pPr>
      <w:r>
        <w:t xml:space="preserve">all information it has provided to MADE in connection with its appointment, including as to its ownership, customers, and Competing Products, is true, accurate, and complete.</w:t>
      </w:r>
    </w:p>
    <w:p>
      <w:pPr>
        <w:pStyle w:val="FirstParagraph"/>
      </w:pPr>
      <w:r>
        <w:rPr>
          <w:b/>
          <w:bCs/>
        </w:rPr>
        <w:t xml:space="preserve">31.3 Ongoing.</w:t>
      </w:r>
      <w:r>
        <w:t xml:space="preserve"> </w:t>
      </w:r>
      <w:r>
        <w:t xml:space="preserve">The representations in Section 31.2 are given on the Effective Date and are</w:t>
      </w:r>
      <w:r>
        <w:t xml:space="preserve"> </w:t>
      </w:r>
      <w:r>
        <w:rPr>
          <w:b/>
          <w:bCs/>
        </w:rPr>
        <w:t xml:space="preserve">deemed repeated on each submission of a Purchase Order</w:t>
      </w:r>
      <w:r>
        <w:t xml:space="preserve">. Distributor shall notify MADE within five (5) Business Days if any of them ceases to be true.</w:t>
      </w:r>
    </w:p>
    <w:p>
      <w:r>
        <w:br w:type="page"/>
      </w:r>
    </w:p>
    <w:bookmarkEnd w:id="44"/>
    <w:bookmarkStart w:id="45" w:name="product-warranty-disclaimer"/>
    <w:p>
      <w:pPr>
        <w:pStyle w:val="Heading1"/>
      </w:pPr>
      <w:r>
        <w:t xml:space="preserve">32. PRODUCT WARRANTY; DISCLAIMER</w:t>
      </w:r>
    </w:p>
    <w:p>
      <w:pPr>
        <w:pStyle w:val="FirstParagraph"/>
      </w:pPr>
      <w:r>
        <w:rPr>
          <w:b/>
          <w:bCs/>
        </w:rPr>
        <w:t xml:space="preserve">32.1 Limited Warranty.</w:t>
      </w:r>
      <w:r>
        <w:t xml:space="preserve"> </w:t>
      </w:r>
      <w:r>
        <w:t xml:space="preserve">MADE warrants to Distributor only that,</w:t>
      </w:r>
      <w:r>
        <w:t xml:space="preserve"> </w:t>
      </w:r>
      <w:r>
        <w:rPr>
          <w:b/>
          <w:bCs/>
        </w:rPr>
        <w:t xml:space="preserve">at the time of tender to the carrier at MADE’s facility</w:t>
      </w:r>
      <w:r>
        <w:t xml:space="preserve">, each Product will (a) conform in all material respects to its Specifications as evidenced by the Certificate of Analysis for its Lot; and (b) have been manufactured in accordance with MADE’s quality management system.</w:t>
      </w:r>
    </w:p>
    <w:p>
      <w:pPr>
        <w:pStyle w:val="BodyText"/>
      </w:pPr>
      <w:r>
        <w:rPr>
          <w:b/>
          <w:bCs/>
        </w:rPr>
        <w:t xml:space="preserve">32.2 Warranty Period; Conditions.</w:t>
      </w:r>
      <w:r>
        <w:t xml:space="preserve"> </w:t>
      </w:r>
      <w:r>
        <w:t xml:space="preserve">The warranty in Section 32.1 extends until the earlier of the Product’s stated expiry date and</w:t>
      </w:r>
      <w:r>
        <w:t xml:space="preserve"> </w:t>
      </w:r>
      <w:r>
        <w:rPr>
          <w:rStyle w:val="VerbatimChar"/>
        </w:rPr>
        <w:t xml:space="preserve">[twelve (12)]</w:t>
      </w:r>
      <w:r>
        <w:t xml:space="preserve"> </w:t>
      </w:r>
      <w:r>
        <w:t xml:space="preserve">months from the date of shipment, and is</w:t>
      </w:r>
      <w:r>
        <w:t xml:space="preserve"> </w:t>
      </w:r>
      <w:r>
        <w:rPr>
          <w:b/>
          <w:bCs/>
        </w:rPr>
        <w:t xml:space="preserve">void</w:t>
      </w:r>
      <w:r>
        <w:t xml:space="preserve"> </w:t>
      </w:r>
      <w:r>
        <w:t xml:space="preserve">if the Product has been (a) stored, handled, transported, thawed, or used other than in accordance with its label, CoA, and Section 19; (b) subjected to a temperature excursion after tender to the carrier; (c) repackaged, relabelled, aliquoted, diluted, formulated, or modified; (d) used other than for the Permitted Use; or (e) combined with any other material.</w:t>
      </w:r>
    </w:p>
    <w:p>
      <w:pPr>
        <w:pStyle w:val="BodyText"/>
      </w:pPr>
      <w:r>
        <w:rPr>
          <w:b/>
          <w:bCs/>
        </w:rPr>
        <w:t xml:space="preserve">32.3 Exclusive Remedy.</w:t>
      </w:r>
      <w:r>
        <w:t xml:space="preserve"> </w:t>
      </w:r>
      <w:r>
        <w:rPr>
          <w:b/>
          <w:bCs/>
        </w:rPr>
        <w:t xml:space="preserve">Distributor’s sole and exclusive remedy, and MADE’s entire liability, for breach of the warranty in Section 32.1 is, at MADE’s election, replacement of the non-conforming Product or issue of a credit for its invoiced price</w:t>
      </w:r>
      <w:r>
        <w:t xml:space="preserve">, in each case subject to Distributor’s compliance with Section 15. MADE shall not be liable for freight, duties, Taxes, or any cost of a returned or destroyed Product beyond that credit.</w:t>
      </w:r>
    </w:p>
    <w:p>
      <w:pPr>
        <w:pStyle w:val="BodyText"/>
      </w:pPr>
      <w:r>
        <w:rPr>
          <w:b/>
          <w:bCs/>
        </w:rPr>
        <w:t xml:space="preserve">32.4 DISCLAIMER OF ALL OTHER WARRANTIES.</w:t>
      </w:r>
    </w:p>
    <w:p>
      <w:pPr>
        <w:pStyle w:val="BlockText"/>
      </w:pPr>
      <w:r>
        <w:rPr>
          <w:b/>
          <w:bCs/>
        </w:rPr>
        <w:t xml:space="preserve">THE WARRANTY IN SECTION 32.1 IS THE ONLY WARRANTY MADE GIVES AND IS IN LIEU OF ALL OTHER WARRANTIES, CONDITIONS, TERMS, AND REPRESENTATIONS, WHETHER EXPRESS, IMPLIED, STATUTORY, OR ARISING BY COURSE OF DEALING, COURSE OF PERFORMANCE, OR USAGE OF TRADE. MADE EXPRESSLY DISCLAIMS ALL IMPLIED WARRANTIES, INCLUDING THE IMPLIED WARRANTIES OF MERCHANTABILITY, FITNESS FOR A PARTICULAR PURPOSE, TITLE, AND NON-INFRINGEMENT.</w:t>
      </w:r>
    </w:p>
    <w:p>
      <w:pPr>
        <w:pStyle w:val="BlockText"/>
      </w:pPr>
      <w:r>
        <w:rPr>
          <w:b/>
          <w:bCs/>
        </w:rPr>
        <w:t xml:space="preserve">WITHOUT LIMITING THE FOREGOING, MADE MAKES NO WARRANTY, REPRESENTATION, OR UNDERTAKING THAT ANY PRODUCT IS SAFE, EFFICACIOUS, STERILE FOR INJECTION, NON-TUMORIGENIC, FREE OF ADVENTITIOUS AGENTS BEYOND THE TESTS STATED IN THE CERTIFICATE OF ANALYSIS, OR SUITABLE OR FIT FOR ANY DIAGNOSTIC, THERAPEUTIC, CLINICAL, AESTHETIC, VETERINARY, OR OTHER USE IN OR ON ANY HUMAN OR ANIMAL. THE PRODUCTS ARE RESEARCH USE ONLY MATERIALS AND ARE NOT APPROVED, CLEARED, OR LICENSED BY THE FDA OR ANY OTHER REGULATORY AUTHORITY.</w:t>
      </w:r>
    </w:p>
    <w:p>
      <w:pPr>
        <w:pStyle w:val="BlockText"/>
      </w:pPr>
      <w:r>
        <w:rPr>
          <w:b/>
          <w:bCs/>
        </w:rPr>
        <w:t xml:space="preserve">NO WARRANTY OF ANY KIND IS GIVEN IN RESPECT OF ANY SAMPLE, ANY PRODUCT SUPPLIED FREE OF CHARGE, OR ANY PRODUCT USED OTHER THAN FOR THE PERMITTED USE, ALL OF WHICH ARE SUPPLIED</w:t>
      </w:r>
      <w:r>
        <w:rPr>
          <w:b/>
          <w:bCs/>
        </w:rPr>
        <w:t xml:space="preserve"> </w:t>
      </w:r>
      <w:r>
        <w:rPr>
          <w:b/>
          <w:bCs/>
        </w:rPr>
        <w:t xml:space="preserve">“AS IS”</w:t>
      </w:r>
      <w:r>
        <w:rPr>
          <w:b/>
          <w:bCs/>
        </w:rPr>
        <w:t xml:space="preserve">.</w:t>
      </w:r>
    </w:p>
    <w:p>
      <w:pPr>
        <w:pStyle w:val="BlockText"/>
      </w:pPr>
      <w:r>
        <w:rPr>
          <w:b/>
          <w:bCs/>
        </w:rPr>
        <w:t xml:space="preserve">NO STATEMENT BY ANY EMPLOYEE, AGENT, OR REPRESENTATIVE OF MADE, AND NO TECHNICAL OR APPLICATIONS ASSISTANCE MADE PROVIDES, CONSTITUTES A WARRANTY OR VARIES THIS SECTION 32.</w:t>
      </w:r>
    </w:p>
    <w:p>
      <w:pPr>
        <w:pStyle w:val="FirstParagraph"/>
      </w:pPr>
      <w:r>
        <w:rPr>
          <w:b/>
          <w:bCs/>
        </w:rPr>
        <w:t xml:space="preserve">32.5 No Third-Party Beneficiary Warranty.</w:t>
      </w:r>
      <w:r>
        <w:t xml:space="preserve"> </w:t>
      </w:r>
      <w:r>
        <w:t xml:space="preserve">The warranty in Section 32.1 runs to Distributor only, is not assignable, and confers no right on any sub-distributor, customer, or other person.</w:t>
      </w:r>
    </w:p>
    <w:p>
      <w:pPr>
        <w:pStyle w:val="BodyText"/>
      </w:pPr>
      <w:r>
        <w:rPr>
          <w:b/>
          <w:bCs/>
        </w:rPr>
        <w:t xml:space="preserve">32.6 Distributor Warranties to Customers.</w:t>
      </w:r>
      <w:r>
        <w:t xml:space="preserve"> </w:t>
      </w:r>
      <w:r>
        <w:t xml:space="preserve">Distributor shall not make, and shall procure that its sub-distributors do not make, any warranty, representation, or undertaking in respect of any Product that exceeds or is inconsistent with Section 32.1 or Section 17.</w:t>
      </w:r>
      <w:r>
        <w:t xml:space="preserve"> </w:t>
      </w:r>
      <w:r>
        <w:rPr>
          <w:b/>
          <w:bCs/>
        </w:rPr>
        <w:t xml:space="preserve">Distributor shall indemnify MADE against all Losses arising from any such warranty, representation, or undertaking.</w:t>
      </w:r>
    </w:p>
    <w:p>
      <w:r>
        <w:pict>
          <v:rect style="width:0;height:1.5pt" o:hralign="center" o:hrstd="t" o:hr="t"/>
        </w:pict>
      </w:r>
    </w:p>
    <w:bookmarkEnd w:id="45"/>
    <w:bookmarkStart w:id="46" w:name="limitation-of-liability"/>
    <w:p>
      <w:pPr>
        <w:pStyle w:val="Heading1"/>
      </w:pPr>
      <w:r>
        <w:t xml:space="preserve">33. LIMITATION OF LIABILITY</w:t>
      </w:r>
    </w:p>
    <w:p>
      <w:pPr>
        <w:pStyle w:val="FirstParagraph"/>
      </w:pPr>
      <w:r>
        <w:rPr>
          <w:b/>
          <w:bCs/>
        </w:rPr>
        <w:t xml:space="preserve">33.1 EXCLUSION OF INDIRECT DAMAGES.</w:t>
      </w:r>
    </w:p>
    <w:p>
      <w:pPr>
        <w:pStyle w:val="BlockText"/>
      </w:pPr>
      <w:r>
        <w:rPr>
          <w:b/>
          <w:bCs/>
        </w:rPr>
        <w:t xml:space="preserve">IN NO EVENT SHALL EITHER PARTY BE LIABLE TO THE OTHER FOR ANY INDIRECT, INCIDENTAL, CONSEQUENTIAL, SPECIAL, EXEMPLARY, OR PUNITIVE DAMAGES, OR FOR ANY LOSS OF PROFIT, LOSS OF REVENUE, LOSS OF BUSINESS, LOSS OF GOODWILL, LOSS OF ANTICIPATED SAVINGS, LOSS OF DATA, BUSINESS INTERRUPTION, OR COST OF PROCUREMENT OF SUBSTITUTE GOODS, HOWEVER CAUSED AND ON ANY THEORY OF LIABILITY (CONTRACT, TORT, NEGLIGENCE, STRICT LIABILITY, OR OTHERWISE), EVEN IF ADVISED OF THE POSSIBILITY OF SUCH DAMAGES AND EVEN IF A REMEDY FAILS OF ITS ESSENTIAL PURPOSE.</w:t>
      </w:r>
    </w:p>
    <w:p>
      <w:pPr>
        <w:pStyle w:val="FirstParagraph"/>
      </w:pPr>
      <w:r>
        <w:rPr>
          <w:b/>
          <w:bCs/>
        </w:rPr>
        <w:t xml:space="preserve">33.2 CAP ON LIABILITY.</w:t>
      </w:r>
    </w:p>
    <w:p>
      <w:pPr>
        <w:pStyle w:val="BlockText"/>
      </w:pPr>
      <w:r>
        <w:rPr>
          <w:b/>
          <w:bCs/>
        </w:rPr>
        <w:t xml:space="preserve">EXCEPT AS PROVIDED IN SECTION 33.3, MADE’S TOTAL AGGREGATE LIABILITY ARISING OUT OF OR RELATING TO THIS AGREEMENT AND THE PRODUCTS, ON ANY THEORY OF LIABILITY, SHALL NOT EXCEED THE GREATER OF (A) THE AGGREGATE AMOUNTS ACTUALLY PAID BY DISTRIBUTOR TO MADE FOR PRODUCTS UNDER THIS AGREEMENT IN THE TWELVE (12) MONTHS IMMEDIATELY PRECEDING THE EVENT GIVING RISE TO THE CLAIM, AND (B) US$</w:t>
      </w:r>
      <w:r>
        <w:rPr>
          <w:rStyle w:val="VerbatimChar"/>
          <w:b/>
          <w:bCs/>
        </w:rPr>
        <w:t xml:space="preserve">[100,000]</w:t>
      </w:r>
      <w:r>
        <w:rPr>
          <w:b/>
          <w:bCs/>
        </w:rPr>
        <w:t xml:space="preserve">.</w:t>
      </w:r>
    </w:p>
    <w:p>
      <w:pPr>
        <w:pStyle w:val="FirstParagraph"/>
      </w:pPr>
      <w:r>
        <w:rPr>
          <w:b/>
          <w:bCs/>
        </w:rPr>
        <w:t xml:space="preserve">33.3 Carve-Outs from the Cap.</w:t>
      </w:r>
      <w:r>
        <w:t xml:space="preserve"> </w:t>
      </w:r>
      <w:r>
        <w:t xml:space="preserve">The cap in Section 33.2 and the exclusion in Section 33.1</w:t>
      </w:r>
      <w:r>
        <w:t xml:space="preserve"> </w:t>
      </w:r>
      <w:r>
        <w:rPr>
          <w:b/>
          <w:bCs/>
        </w:rPr>
        <w:t xml:space="preserve">do not apply to</w:t>
      </w:r>
      <w:r>
        <w:t xml:space="preserve">:</w:t>
      </w:r>
    </w:p>
    <w:p>
      <w:pPr>
        <w:numPr>
          <w:ilvl w:val="0"/>
          <w:numId w:val="1014"/>
        </w:numPr>
      </w:pPr>
      <w:r>
        <w:t xml:space="preserve">Distributor’s payment obligations, including for Products delivered, Taxes, freight, and interest;</w:t>
      </w:r>
    </w:p>
    <w:p>
      <w:pPr>
        <w:numPr>
          <w:ilvl w:val="0"/>
          <w:numId w:val="1014"/>
        </w:numPr>
      </w:pPr>
      <w:r>
        <w:t xml:space="preserve">either Party’s indemnity obligations under Section 34;</w:t>
      </w:r>
    </w:p>
    <w:p>
      <w:pPr>
        <w:numPr>
          <w:ilvl w:val="0"/>
          <w:numId w:val="1014"/>
        </w:numPr>
      </w:pPr>
      <w:r>
        <w:t xml:space="preserve">either Party’s breach of Section 29 (Confidentiality), Section 28 (Database), or Section 30 (Intellectual Property);</w:t>
      </w:r>
    </w:p>
    <w:p>
      <w:pPr>
        <w:numPr>
          <w:ilvl w:val="0"/>
          <w:numId w:val="1014"/>
        </w:numPr>
      </w:pPr>
      <w:r>
        <w:t xml:space="preserve">Distributor’s breach of Section 17 (Research Use Only Status), Section 25 (Sampling), or Section 36 (Compliance; Anti-Corruption; Sanctions);</w:t>
      </w:r>
    </w:p>
    <w:p>
      <w:pPr>
        <w:numPr>
          <w:ilvl w:val="0"/>
          <w:numId w:val="1014"/>
        </w:numPr>
      </w:pPr>
      <w:r>
        <w:t xml:space="preserve">either Party’s fraud, wilful misconduct, or gross negligence; and</w:t>
      </w:r>
    </w:p>
    <w:p>
      <w:pPr>
        <w:numPr>
          <w:ilvl w:val="0"/>
          <w:numId w:val="1014"/>
        </w:numPr>
      </w:pPr>
      <w:r>
        <w:t xml:space="preserve">any liability that cannot lawfully be excluded or limited, including liability for death or personal injury caused by a Party’s negligence.</w:t>
      </w:r>
    </w:p>
    <w:p>
      <w:pPr>
        <w:pStyle w:val="FirstParagraph"/>
      </w:pPr>
      <w:r>
        <w:rPr>
          <w:b/>
          <w:bCs/>
        </w:rPr>
        <w:t xml:space="preserve">33.4 Allocation of Risk.</w:t>
      </w:r>
      <w:r>
        <w:t xml:space="preserve"> </w:t>
      </w:r>
      <w:r>
        <w:rPr>
          <w:b/>
          <w:bCs/>
        </w:rPr>
        <w:t xml:space="preserve">The Parties acknowledge that the prices for the Products reflect the allocation of risk in Sections 32 and 33, that these limitations are an essential basis of the bargain, and that MADE would not supply the Products on these prices without them.</w:t>
      </w:r>
      <w:r>
        <w:t xml:space="preserve"> </w:t>
      </w:r>
      <w:r>
        <w:t xml:space="preserve">These limitations apply notwithstanding any failure of essential purpose of any limited remedy.</w:t>
      </w:r>
    </w:p>
    <w:p>
      <w:pPr>
        <w:pStyle w:val="BodyText"/>
      </w:pPr>
      <w:r>
        <w:rPr>
          <w:b/>
          <w:bCs/>
        </w:rPr>
        <w:t xml:space="preserve">33.5 Time Bar.</w:t>
      </w:r>
      <w:r>
        <w:t xml:space="preserve"> </w:t>
      </w:r>
      <w:r>
        <w:t xml:space="preserve">No claim arising out of or relating to this Agreement may be brought by Distributor more than</w:t>
      </w:r>
      <w:r>
        <w:t xml:space="preserve"> </w:t>
      </w:r>
      <w:r>
        <w:rPr>
          <w:rStyle w:val="VerbatimChar"/>
        </w:rPr>
        <w:t xml:space="preserve">[one (1) year]</w:t>
      </w:r>
      <w:r>
        <w:t xml:space="preserve"> </w:t>
      </w:r>
      <w:r>
        <w:t xml:space="preserve">after the cause of action accrued, save for claims for non-payment.</w:t>
      </w:r>
    </w:p>
    <w:p>
      <w:r>
        <w:pict>
          <v:rect style="width:0;height:1.5pt" o:hralign="center" o:hrstd="t" o:hr="t"/>
        </w:pict>
      </w:r>
    </w:p>
    <w:bookmarkEnd w:id="46"/>
    <w:bookmarkStart w:id="47" w:name="indemnification"/>
    <w:p>
      <w:pPr>
        <w:pStyle w:val="Heading1"/>
      </w:pPr>
      <w:r>
        <w:t xml:space="preserve">34. INDEMNIFICATION</w:t>
      </w:r>
    </w:p>
    <w:p>
      <w:pPr>
        <w:pStyle w:val="FirstParagraph"/>
      </w:pPr>
      <w:r>
        <w:rPr>
          <w:b/>
          <w:bCs/>
        </w:rPr>
        <w:t xml:space="preserve">34.1 MADE Indemnity.</w:t>
      </w:r>
      <w:r>
        <w:t xml:space="preserve"> </w:t>
      </w:r>
      <w:r>
        <w:t xml:space="preserve">MADE shall defend, indemnify, and hold harmless Distributor and its directors, officers, and employees from and against all third-party claims, and all resulting liabilities, damages, penalties, fines, settlements, and reasonable legal fees (</w:t>
      </w:r>
      <w:r>
        <w:t xml:space="preserve">“</w:t>
      </w:r>
      <w:r>
        <w:rPr>
          <w:b/>
          <w:bCs/>
        </w:rPr>
        <w:t xml:space="preserve">Losses</w:t>
      </w:r>
      <w:r>
        <w:t xml:space="preserve">”</w:t>
      </w:r>
      <w:r>
        <w:t xml:space="preserve">), to the extent arising from:</w:t>
      </w:r>
    </w:p>
    <w:p>
      <w:pPr>
        <w:numPr>
          <w:ilvl w:val="0"/>
          <w:numId w:val="1015"/>
        </w:numPr>
      </w:pPr>
      <w:r>
        <w:t xml:space="preserve">a defect in MADE’s manufacture of a Product that causes the Product not to conform to its Specifications at the time of tender to the carrier; or</w:t>
      </w:r>
    </w:p>
    <w:p>
      <w:pPr>
        <w:numPr>
          <w:ilvl w:val="0"/>
          <w:numId w:val="1015"/>
        </w:numPr>
      </w:pPr>
      <w:r>
        <w:t xml:space="preserve">a claim that a Product, as supplied by MADE and used for the Permitted Use, infringes a third party’s US patent, copyright, or trade secret;</w:t>
      </w:r>
    </w:p>
    <w:p>
      <w:pPr>
        <w:pStyle w:val="FirstParagraph"/>
      </w:pPr>
      <w:r>
        <w:rPr>
          <w:b/>
          <w:bCs/>
        </w:rPr>
        <w:t xml:space="preserve">provided that</w:t>
      </w:r>
      <w:r>
        <w:t xml:space="preserve"> </w:t>
      </w:r>
      <w:r>
        <w:t xml:space="preserve">MADE has no obligation under this Section 34.1 in respect of any Loss to the extent arising from any matter for which Distributor indemnifies MADE under Section 34.2, and in particular</w:t>
      </w:r>
      <w:r>
        <w:t xml:space="preserve"> </w:t>
      </w:r>
      <w:r>
        <w:rPr>
          <w:b/>
          <w:bCs/>
        </w:rPr>
        <w:t xml:space="preserve">no obligation of any kind in respect of any Prohibited Clinical Use</w:t>
      </w:r>
      <w:r>
        <w:t xml:space="preserve">.</w:t>
      </w:r>
    </w:p>
    <w:p>
      <w:pPr>
        <w:pStyle w:val="BodyText"/>
      </w:pPr>
      <w:r>
        <w:rPr>
          <w:b/>
          <w:bCs/>
        </w:rPr>
        <w:t xml:space="preserve">34.2 Distributor Indemnity.</w:t>
      </w:r>
      <w:r>
        <w:t xml:space="preserve"> </w:t>
      </w:r>
      <w:r>
        <w:t xml:space="preserve">Distributor shall defend, indemnify, and hold harmless MADE and its Affiliates and their respective directors, officers, employees, and agents from and against all Losses arising from or relating to:</w:t>
      </w:r>
    </w:p>
    <w:p>
      <w:pPr>
        <w:numPr>
          <w:ilvl w:val="0"/>
          <w:numId w:val="1016"/>
        </w:numPr>
      </w:pPr>
      <w:r>
        <w:rPr>
          <w:b/>
          <w:bCs/>
        </w:rPr>
        <w:t xml:space="preserve">any Prohibited Clinical Use of any Product</w:t>
      </w:r>
      <w:r>
        <w:t xml:space="preserve">, wherever occurring and by whomever committed, including any use in or on any human or animal, and any claim of personal injury, death, or property damage arising from it;</w:t>
      </w:r>
    </w:p>
    <w:p>
      <w:pPr>
        <w:numPr>
          <w:ilvl w:val="0"/>
          <w:numId w:val="1016"/>
        </w:numPr>
      </w:pPr>
      <w:r>
        <w:t xml:space="preserve">any breach by Distributor of Section 17, Section 25, Section 28, Section 36, or Schedule I;</w:t>
      </w:r>
    </w:p>
    <w:p>
      <w:pPr>
        <w:numPr>
          <w:ilvl w:val="0"/>
          <w:numId w:val="1016"/>
        </w:numPr>
      </w:pPr>
      <w:r>
        <w:t xml:space="preserve">Distributor’s storage, handling, transport, repackaging, relabelling, aliquoting, dilution, formulation, or modification of any Product;</w:t>
      </w:r>
    </w:p>
    <w:p>
      <w:pPr>
        <w:numPr>
          <w:ilvl w:val="0"/>
          <w:numId w:val="1016"/>
        </w:numPr>
      </w:pPr>
      <w:r>
        <w:t xml:space="preserve">any representation, warranty, or claim made by Distributor or its sub-distributors in respect of any Product that exceeds or is inconsistent with Section 32.1 or Section 17;</w:t>
      </w:r>
    </w:p>
    <w:p>
      <w:pPr>
        <w:numPr>
          <w:ilvl w:val="0"/>
          <w:numId w:val="1016"/>
        </w:numPr>
      </w:pPr>
      <w:r>
        <w:t xml:space="preserve">the presence of the Distributor Marks on any Product or its packaging, including any claim that Distributor is an apparent manufacturer of that Product;</w:t>
      </w:r>
    </w:p>
    <w:p>
      <w:pPr>
        <w:numPr>
          <w:ilvl w:val="0"/>
          <w:numId w:val="1016"/>
        </w:numPr>
      </w:pPr>
      <w:r>
        <w:t xml:space="preserve">Distributor’s promotion, marketing, advertising, sale, or distribution of any Product, including any regulatory action, warning letter, seizure, injunction, or enforcement proceeding brought against MADE in consequence;</w:t>
      </w:r>
    </w:p>
    <w:p>
      <w:pPr>
        <w:numPr>
          <w:ilvl w:val="0"/>
          <w:numId w:val="1016"/>
        </w:numPr>
      </w:pPr>
      <w:r>
        <w:t xml:space="preserve">Distributor’s packing, marking, documentation, or tender of any dangerous-goods shipment under Section 14.4;</w:t>
      </w:r>
    </w:p>
    <w:p>
      <w:pPr>
        <w:numPr>
          <w:ilvl w:val="0"/>
          <w:numId w:val="1016"/>
        </w:numPr>
      </w:pPr>
      <w:r>
        <w:t xml:space="preserve">any Tax, duty, penalty, interest, or nexus exposure arising on the resale leg of a Drop-Ship Service transaction under Section 13.5(b);</w:t>
      </w:r>
    </w:p>
    <w:p>
      <w:pPr>
        <w:numPr>
          <w:ilvl w:val="0"/>
          <w:numId w:val="1016"/>
        </w:numPr>
      </w:pPr>
      <w:r>
        <w:t xml:space="preserve">the acts and omissions of any sub-distributor or customer of Distributor; and</w:t>
      </w:r>
    </w:p>
    <w:p>
      <w:pPr>
        <w:numPr>
          <w:ilvl w:val="0"/>
          <w:numId w:val="1016"/>
        </w:numPr>
      </w:pPr>
      <w:r>
        <w:t xml:space="preserve">Distributor’s breach of any Applicable Law.</w:t>
      </w:r>
    </w:p>
    <w:p>
      <w:pPr>
        <w:pStyle w:val="FirstParagraph"/>
      </w:pPr>
      <w:r>
        <w:rPr>
          <w:b/>
          <w:bCs/>
        </w:rPr>
        <w:t xml:space="preserve">34.3 Procedure.</w:t>
      </w:r>
      <w:r>
        <w:t xml:space="preserve"> </w:t>
      </w:r>
      <w:r>
        <w:t xml:space="preserve">The Party seeking indemnity (</w:t>
      </w:r>
      <w:r>
        <w:t xml:space="preserve">“</w:t>
      </w:r>
      <w:r>
        <w:rPr>
          <w:b/>
          <w:bCs/>
        </w:rPr>
        <w:t xml:space="preserve">Indemnitee</w:t>
      </w:r>
      <w:r>
        <w:t xml:space="preserve">”</w:t>
      </w:r>
      <w:r>
        <w:t xml:space="preserve">) shall (a) notify the indemnifying Party (</w:t>
      </w:r>
      <w:r>
        <w:t xml:space="preserve">“</w:t>
      </w:r>
      <w:r>
        <w:rPr>
          <w:b/>
          <w:bCs/>
        </w:rPr>
        <w:t xml:space="preserve">Indemnitor</w:t>
      </w:r>
      <w:r>
        <w:t xml:space="preserve">”</w:t>
      </w:r>
      <w:r>
        <w:t xml:space="preserve">) promptly in writing of the claim (failure to do so relieving the Indemnitor only to the extent it is materially prejudiced); (b) give the Indemnitor sole control of the defence and settlement, save that the Indemnitor shall not settle any claim in a manner that imposes any non-indemnified liability, admission of fault, or injunctive obligation on the Indemnitee without its prior written consent; and (c) provide reasonable cooperation at the Indemnitor’s cost. The Indemnitee may participate at its own expense with counsel of its choice.</w:t>
      </w:r>
    </w:p>
    <w:p>
      <w:pPr>
        <w:pStyle w:val="BodyText"/>
      </w:pPr>
      <w:r>
        <w:rPr>
          <w:b/>
          <w:bCs/>
        </w:rPr>
        <w:t xml:space="preserve">34.4 Survival.</w:t>
      </w:r>
      <w:r>
        <w:t xml:space="preserve"> </w:t>
      </w:r>
      <w:r>
        <w:t xml:space="preserve">This Section 34 survives termination.</w:t>
      </w:r>
    </w:p>
    <w:p>
      <w:r>
        <w:pict>
          <v:rect style="width:0;height:1.5pt" o:hralign="center" o:hrstd="t" o:hr="t"/>
        </w:pict>
      </w:r>
    </w:p>
    <w:bookmarkEnd w:id="47"/>
    <w:bookmarkStart w:id="48" w:name="insurance"/>
    <w:p>
      <w:pPr>
        <w:pStyle w:val="Heading1"/>
      </w:pPr>
      <w:r>
        <w:t xml:space="preserve">35. INSURANCE</w:t>
      </w:r>
    </w:p>
    <w:p>
      <w:pPr>
        <w:pStyle w:val="FirstParagraph"/>
      </w:pPr>
      <w:r>
        <w:rPr>
          <w:b/>
          <w:bCs/>
        </w:rPr>
        <w:t xml:space="preserve">35.1 Distributor Insurance.</w:t>
      </w:r>
      <w:r>
        <w:t xml:space="preserve"> </w:t>
      </w:r>
      <w:r>
        <w:t xml:space="preserve">Distributor shall obtain and maintain, at its own cost, throughout the Term and for</w:t>
      </w:r>
      <w:r>
        <w:t xml:space="preserve"> </w:t>
      </w:r>
      <w:r>
        <w:rPr>
          <w:b/>
          <w:bCs/>
        </w:rPr>
        <w:t xml:space="preserve">three (3) years</w:t>
      </w:r>
      <w:r>
        <w:t xml:space="preserve"> </w:t>
      </w:r>
      <w:r>
        <w:t xml:space="preserve">thereafter, with insurers rated not less than</w:t>
      </w:r>
      <w:r>
        <w:t xml:space="preserve"> </w:t>
      </w:r>
      <w:r>
        <w:rPr>
          <w:rStyle w:val="VerbatimChar"/>
        </w:rPr>
        <w:t xml:space="preserve">[A- (A.M. Best)]</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Cover</w:t>
            </w:r>
          </w:p>
        </w:tc>
        <w:tc>
          <w:tcPr/>
          <w:p>
            <w:pPr>
              <w:pStyle w:val="Compact"/>
            </w:pPr>
            <w:r>
              <w:t xml:space="preserve">Minimum limit</w:t>
            </w:r>
          </w:p>
        </w:tc>
      </w:tr>
      <w:tr>
        <w:tc>
          <w:tcPr/>
          <w:p>
            <w:pPr>
              <w:pStyle w:val="Compact"/>
            </w:pPr>
            <w:r>
              <w:t xml:space="preserve">Commercial General Liability (incl. contractual liability)</w:t>
            </w:r>
          </w:p>
        </w:tc>
        <w:tc>
          <w:tcPr/>
          <w:p>
            <w:pPr>
              <w:pStyle w:val="Compact"/>
            </w:pPr>
            <w:r>
              <w:t xml:space="preserve">US$</w:t>
            </w:r>
            <w:r>
              <w:rPr>
                <w:rStyle w:val="VerbatimChar"/>
              </w:rPr>
              <w:t xml:space="preserve">[1,000,000]</w:t>
            </w:r>
            <w:r>
              <w:t xml:space="preserve"> </w:t>
            </w:r>
            <w:r>
              <w:t xml:space="preserve">per occurrence / US$</w:t>
            </w:r>
            <w:r>
              <w:rPr>
                <w:rStyle w:val="VerbatimChar"/>
              </w:rPr>
              <w:t xml:space="preserve">[2,000,000]</w:t>
            </w:r>
            <w:r>
              <w:t xml:space="preserve"> </w:t>
            </w:r>
            <w:r>
              <w:t xml:space="preserve">aggregate</w:t>
            </w:r>
          </w:p>
        </w:tc>
      </w:tr>
      <w:tr>
        <w:tc>
          <w:tcPr/>
          <w:p>
            <w:pPr>
              <w:pStyle w:val="Compact"/>
            </w:pPr>
            <w:r>
              <w:t xml:space="preserve">Products and Completed Operations Liability</w:t>
            </w:r>
          </w:p>
        </w:tc>
        <w:tc>
          <w:tcPr/>
          <w:p>
            <w:pPr>
              <w:pStyle w:val="Compact"/>
            </w:pPr>
            <w:r>
              <w:t xml:space="preserve">US$</w:t>
            </w:r>
            <w:r>
              <w:rPr>
                <w:rStyle w:val="VerbatimChar"/>
              </w:rPr>
              <w:t xml:space="preserve">[5,000,000]</w:t>
            </w:r>
            <w:r>
              <w:t xml:space="preserve"> </w:t>
            </w:r>
            <w:r>
              <w:t xml:space="preserve">aggregate</w:t>
            </w:r>
          </w:p>
        </w:tc>
      </w:tr>
      <w:tr>
        <w:tc>
          <w:tcPr/>
          <w:p>
            <w:pPr>
              <w:pStyle w:val="Compact"/>
            </w:pPr>
            <w:r>
              <w:t xml:space="preserve">Umbrella / Excess Liability</w:t>
            </w:r>
          </w:p>
        </w:tc>
        <w:tc>
          <w:tcPr/>
          <w:p>
            <w:pPr>
              <w:pStyle w:val="Compact"/>
            </w:pPr>
            <w:r>
              <w:t xml:space="preserve">US$</w:t>
            </w:r>
            <w:r>
              <w:rPr>
                <w:rStyle w:val="VerbatimChar"/>
              </w:rPr>
              <w:t xml:space="preserve">[3,000,000]</w:t>
            </w:r>
            <w:r>
              <w:t xml:space="preserve"> </w:t>
            </w:r>
            <w:r>
              <w:t xml:space="preserve">aggregate</w:t>
            </w:r>
          </w:p>
        </w:tc>
      </w:tr>
      <w:tr>
        <w:tc>
          <w:tcPr/>
          <w:p>
            <w:pPr>
              <w:pStyle w:val="Compact"/>
            </w:pPr>
            <w:r>
              <w:t xml:space="preserve">All-risk cargo / transit insurance</w:t>
            </w:r>
          </w:p>
        </w:tc>
        <w:tc>
          <w:tcPr/>
          <w:p>
            <w:pPr>
              <w:pStyle w:val="Compact"/>
            </w:pPr>
            <w:r>
              <w:t xml:space="preserve">full invoice value plus freight, for each shipment for which Distributor bears risk under Section 12.2</w:t>
            </w:r>
          </w:p>
        </w:tc>
      </w:tr>
      <w:tr>
        <w:tc>
          <w:tcPr/>
          <w:p>
            <w:pPr>
              <w:pStyle w:val="Compact"/>
            </w:pPr>
            <w:r>
              <w:t xml:space="preserve">Workers’ compensation / employer’s liability</w:t>
            </w:r>
          </w:p>
        </w:tc>
        <w:tc>
          <w:tcPr/>
          <w:p>
            <w:pPr>
              <w:pStyle w:val="Compact"/>
            </w:pPr>
            <w:r>
              <w:t xml:space="preserve">as required by Applicable Law</w:t>
            </w:r>
          </w:p>
        </w:tc>
      </w:tr>
      <w:tr>
        <w:tc>
          <w:tcPr/>
          <w:p>
            <w:pPr>
              <w:pStyle w:val="Compact"/>
            </w:pPr>
            <w:r>
              <w:rPr>
                <w:rStyle w:val="VerbatimChar"/>
              </w:rPr>
              <w:t xml:space="preserve">[Cyber / privacy liability (where Distributor accesses the Database)]</w:t>
            </w:r>
          </w:p>
        </w:tc>
        <w:tc>
          <w:tcPr/>
          <w:p>
            <w:pPr>
              <w:pStyle w:val="Compact"/>
            </w:pPr>
            <w:r>
              <w:t xml:space="preserve">US$</w:t>
            </w:r>
            <w:r>
              <w:rPr>
                <w:rStyle w:val="VerbatimChar"/>
              </w:rPr>
              <w:t xml:space="preserve">[1,000,000]</w:t>
            </w:r>
          </w:p>
        </w:tc>
      </w:tr>
    </w:tbl>
    <w:p>
      <w:pPr>
        <w:pStyle w:val="BodyText"/>
      </w:pPr>
      <w:r>
        <w:rPr>
          <w:b/>
          <w:bCs/>
        </w:rPr>
        <w:t xml:space="preserve">35.2 Terms.</w:t>
      </w:r>
      <w:r>
        <w:t xml:space="preserve"> </w:t>
      </w:r>
      <w:r>
        <w:t xml:space="preserve">The policies in the first three rows shall name</w:t>
      </w:r>
      <w:r>
        <w:t xml:space="preserve"> </w:t>
      </w:r>
      <w:r>
        <w:rPr>
          <w:b/>
          <w:bCs/>
        </w:rPr>
        <w:t xml:space="preserve">MADE as an additional insured</w:t>
      </w:r>
      <w:r>
        <w:t xml:space="preserve">, shall be primary and non-contributory with any insurance MADE maintains, and shall include a</w:t>
      </w:r>
      <w:r>
        <w:t xml:space="preserve"> </w:t>
      </w:r>
      <w:r>
        <w:rPr>
          <w:b/>
          <w:bCs/>
        </w:rPr>
        <w:t xml:space="preserve">waiver of subrogation</w:t>
      </w:r>
      <w:r>
        <w:t xml:space="preserve"> </w:t>
      </w:r>
      <w:r>
        <w:t xml:space="preserve">in MADE’s favour.</w:t>
      </w:r>
    </w:p>
    <w:p>
      <w:pPr>
        <w:pStyle w:val="BodyText"/>
      </w:pPr>
      <w:r>
        <w:rPr>
          <w:b/>
          <w:bCs/>
        </w:rPr>
        <w:t xml:space="preserve">35.3 Evidence.</w:t>
      </w:r>
      <w:r>
        <w:t xml:space="preserve"> </w:t>
      </w:r>
      <w:r>
        <w:t xml:space="preserve">Distributor shall furnish certificates of insurance on the Effective Date, on each renewal, and on request, and shall give MADE</w:t>
      </w:r>
      <w:r>
        <w:t xml:space="preserve"> </w:t>
      </w:r>
      <w:r>
        <w:rPr>
          <w:b/>
          <w:bCs/>
        </w:rPr>
        <w:t xml:space="preserve">thirty (30) days’</w:t>
      </w:r>
      <w:r>
        <w:t xml:space="preserve"> </w:t>
      </w:r>
      <w:r>
        <w:t xml:space="preserve">written notice of cancellation, non-renewal, or material adverse change.</w:t>
      </w:r>
    </w:p>
    <w:p>
      <w:pPr>
        <w:pStyle w:val="BodyText"/>
      </w:pPr>
      <w:r>
        <w:rPr>
          <w:b/>
          <w:bCs/>
        </w:rPr>
        <w:t xml:space="preserve">35.4 Carrier Liability Insufficient.</w:t>
      </w:r>
      <w:r>
        <w:t xml:space="preserve"> </w:t>
      </w:r>
      <w:r>
        <w:t xml:space="preserve">Distributor acknowledges that carrier liability limits (including under the Montreal Convention and the Carmack Amendment, and standard parcel-carrier terms, which commonly exclude perishable and temperature-sensitive goods) are</w:t>
      </w:r>
      <w:r>
        <w:t xml:space="preserve"> </w:t>
      </w:r>
      <w:r>
        <w:rPr>
          <w:b/>
          <w:bCs/>
        </w:rPr>
        <w:t xml:space="preserve">materially less than the value of the Products</w:t>
      </w:r>
      <w:r>
        <w:t xml:space="preserve"> </w:t>
      </w:r>
      <w:r>
        <w:t xml:space="preserve">and are not a substitute for the insurance required by Section 35.1.</w:t>
      </w:r>
    </w:p>
    <w:p>
      <w:pPr>
        <w:pStyle w:val="BodyText"/>
      </w:pPr>
      <w:r>
        <w:rPr>
          <w:b/>
          <w:bCs/>
        </w:rPr>
        <w:t xml:space="preserve">35.5 No Limitation.</w:t>
      </w:r>
      <w:r>
        <w:t xml:space="preserve"> </w:t>
      </w:r>
      <w:r>
        <w:t xml:space="preserve">Maintenance of insurance does not limit Distributor’s liability or its indemnity obligations under Section 34.2.</w:t>
      </w:r>
    </w:p>
    <w:p>
      <w:r>
        <w:pict>
          <v:rect style="width:0;height:1.5pt" o:hralign="center" o:hrstd="t" o:hr="t"/>
        </w:pict>
      </w:r>
    </w:p>
    <w:bookmarkEnd w:id="48"/>
    <w:bookmarkStart w:id="49" w:name="X669f4ac78be11e7d08feb119aad50eba103e51b"/>
    <w:p>
      <w:pPr>
        <w:pStyle w:val="Heading1"/>
      </w:pPr>
      <w:r>
        <w:t xml:space="preserve">36. COMPLIANCE WITH LAW; ANTI-CORRUPTION; SANCTIONS</w:t>
      </w:r>
    </w:p>
    <w:p>
      <w:pPr>
        <w:pStyle w:val="FirstParagraph"/>
      </w:pPr>
      <w:r>
        <w:rPr>
          <w:b/>
          <w:bCs/>
        </w:rPr>
        <w:t xml:space="preserve">36.1 General.</w:t>
      </w:r>
      <w:r>
        <w:t xml:space="preserve"> </w:t>
      </w:r>
      <w:r>
        <w:t xml:space="preserve">Each Party shall comply with all Applicable Law in performing this Agreement.</w:t>
      </w:r>
    </w:p>
    <w:p>
      <w:pPr>
        <w:pStyle w:val="BodyText"/>
      </w:pPr>
      <w:r>
        <w:rPr>
          <w:b/>
          <w:bCs/>
        </w:rPr>
        <w:t xml:space="preserve">36.2 Anti-Corruption.</w:t>
      </w:r>
      <w:r>
        <w:t xml:space="preserve"> </w:t>
      </w:r>
      <w:r>
        <w:t xml:space="preserve">Distributor represents, warrants, and covenants that it, and its owners, directors, officers, employees, agents, and sub-distributors:</w:t>
      </w:r>
    </w:p>
    <w:p>
      <w:pPr>
        <w:numPr>
          <w:ilvl w:val="0"/>
          <w:numId w:val="1017"/>
        </w:numPr>
      </w:pPr>
      <w:r>
        <w:t xml:space="preserve">shall comply with the</w:t>
      </w:r>
      <w:r>
        <w:t xml:space="preserve"> </w:t>
      </w:r>
      <w:r>
        <w:rPr>
          <w:b/>
          <w:bCs/>
        </w:rPr>
        <w:t xml:space="preserve">US Foreign Corrupt Practices Act (15 U.S.C. §§ 78dd-1</w:t>
      </w:r>
      <w:r>
        <w:rPr>
          <w:b/>
          <w:bCs/>
        </w:rPr>
        <w:t xml:space="preserve"> </w:t>
      </w:r>
      <w:r>
        <w:rPr>
          <w:b/>
          <w:bCs/>
          <w:i/>
          <w:iCs/>
        </w:rPr>
        <w:t xml:space="preserve">et seq.</w:t>
      </w:r>
      <w:r>
        <w:rPr>
          <w:b/>
          <w:bCs/>
        </w:rPr>
        <w:t xml:space="preserve">)</w:t>
      </w:r>
      <w:r>
        <w:t xml:space="preserve">, the</w:t>
      </w:r>
      <w:r>
        <w:t xml:space="preserve"> </w:t>
      </w:r>
      <w:r>
        <w:rPr>
          <w:b/>
          <w:bCs/>
        </w:rPr>
        <w:t xml:space="preserve">UK Bribery Act 2010</w:t>
      </w:r>
      <w:r>
        <w:t xml:space="preserve">, and all other applicable anti-bribery, anti-corruption, and anti-money-laundering laws (</w:t>
      </w:r>
      <w:r>
        <w:t xml:space="preserve">“</w:t>
      </w:r>
      <w:r>
        <w:rPr>
          <w:b/>
          <w:bCs/>
        </w:rPr>
        <w:t xml:space="preserve">Anti-Corruption Laws</w:t>
      </w:r>
      <w:r>
        <w:t xml:space="preserve">”</w:t>
      </w:r>
      <w:r>
        <w:t xml:space="preserve">);</w:t>
      </w:r>
    </w:p>
    <w:p>
      <w:pPr>
        <w:numPr>
          <w:ilvl w:val="0"/>
          <w:numId w:val="1017"/>
        </w:numPr>
      </w:pPr>
      <w:r>
        <w:t xml:space="preserve">shall not, directly or indirectly, offer, promise, pay, give, authorise, solicit, or accept anything of value to or from any person —</w:t>
      </w:r>
      <w:r>
        <w:t xml:space="preserve"> </w:t>
      </w:r>
      <w:r>
        <w:rPr>
          <w:b/>
          <w:bCs/>
        </w:rPr>
        <w:t xml:space="preserve">including any</w:t>
      </w:r>
      <w:r>
        <w:rPr>
          <w:b/>
          <w:bCs/>
        </w:rPr>
        <w:t xml:space="preserve"> </w:t>
      </w:r>
      <w:r>
        <w:rPr>
          <w:b/>
          <w:bCs/>
        </w:rPr>
        <w:t xml:space="preserve">“foreign official”</w:t>
      </w:r>
      <w:r>
        <w:rPr>
          <w:b/>
          <w:bCs/>
        </w:rPr>
        <w:t xml:space="preserve">, which the Parties acknowledge includes physicians, researchers, administrators, and procurement personnel of state-owned or state-controlled hospitals, clinics, universities, and research institutes</w:t>
      </w:r>
      <w:r>
        <w:t xml:space="preserve"> </w:t>
      </w:r>
      <w:r>
        <w:t xml:space="preserve">— in order improperly to obtain or retain business or any improper advantage in connection with the Products;</w:t>
      </w:r>
    </w:p>
    <w:p>
      <w:pPr>
        <w:numPr>
          <w:ilvl w:val="0"/>
          <w:numId w:val="1017"/>
        </w:numPr>
      </w:pPr>
      <w:r>
        <w:t xml:space="preserve">have not been and are not the subject of any anti-corruption investigation, charge, or conviction; and</w:t>
      </w:r>
    </w:p>
    <w:p>
      <w:pPr>
        <w:numPr>
          <w:ilvl w:val="0"/>
          <w:numId w:val="1017"/>
        </w:numPr>
      </w:pPr>
      <w:r>
        <w:rPr>
          <w:b/>
          <w:bCs/>
        </w:rPr>
        <w:t xml:space="preserve">shall not use any discount, rebate, Product Credit, Sample, marketing allowance, commission, or other benefit received under this Agreement as a means of funding any prohibited payment.</w:t>
      </w:r>
    </w:p>
    <w:p>
      <w:pPr>
        <w:pStyle w:val="FirstParagraph"/>
      </w:pPr>
      <w:r>
        <w:rPr>
          <w:b/>
          <w:bCs/>
        </w:rPr>
        <w:t xml:space="preserve">36.3 Government Interests.</w:t>
      </w:r>
      <w:r>
        <w:t xml:space="preserve"> </w:t>
      </w:r>
      <w:r>
        <w:t xml:space="preserve">Distributor shall disclose in writing any ownership, control, or beneficial interest held by any government, government official, or their family members in Distributor or any sub-distributor, and any employment or consulting relationship between Distributor’s personnel and any government customer.</w:t>
      </w:r>
    </w:p>
    <w:p>
      <w:pPr>
        <w:pStyle w:val="BodyText"/>
      </w:pPr>
      <w:r>
        <w:rPr>
          <w:b/>
          <w:bCs/>
        </w:rPr>
        <w:t xml:space="preserve">36.4 Procedures; Certification.</w:t>
      </w:r>
      <w:r>
        <w:t xml:space="preserve"> </w:t>
      </w:r>
      <w:r>
        <w:t xml:space="preserve">Distributor shall maintain anti-corruption policies, procedures, and training consistent with the guidance underlying the</w:t>
      </w:r>
      <w:r>
        <w:t xml:space="preserve"> </w:t>
      </w:r>
      <w:r>
        <w:t xml:space="preserve">“adequate procedures”</w:t>
      </w:r>
      <w:r>
        <w:t xml:space="preserve"> </w:t>
      </w:r>
      <w:r>
        <w:t xml:space="preserve">defence under section 7 of the UK Bribery Act 2010, and shall deliver to MADE an</w:t>
      </w:r>
      <w:r>
        <w:t xml:space="preserve"> </w:t>
      </w:r>
      <w:r>
        <w:rPr>
          <w:b/>
          <w:bCs/>
        </w:rPr>
        <w:t xml:space="preserve">annual written certification of compliance</w:t>
      </w:r>
      <w:r>
        <w:t xml:space="preserve"> </w:t>
      </w:r>
      <w:r>
        <w:t xml:space="preserve">in the form of Exhibit 2.</w:t>
      </w:r>
    </w:p>
    <w:p>
      <w:pPr>
        <w:pStyle w:val="BodyText"/>
      </w:pPr>
      <w:r>
        <w:rPr>
          <w:b/>
          <w:bCs/>
        </w:rPr>
        <w:t xml:space="preserve">36.5 Trade Controls.</w:t>
      </w:r>
      <w:r>
        <w:t xml:space="preserve"> </w:t>
      </w:r>
      <w:r>
        <w:t xml:space="preserve">Distributor represents and covenants that it, its owners and principals, and its sub-distributors and customers are not, and it shall screen them against, the</w:t>
      </w:r>
      <w:r>
        <w:t xml:space="preserve"> </w:t>
      </w:r>
      <w:r>
        <w:rPr>
          <w:b/>
          <w:bCs/>
        </w:rPr>
        <w:t xml:space="preserve">OFAC Specially Designated Nationals and Consolidated Sanctions Lists</w:t>
      </w:r>
      <w:r>
        <w:t xml:space="preserve"> </w:t>
      </w:r>
      <w:r>
        <w:t xml:space="preserve">and the</w:t>
      </w:r>
      <w:r>
        <w:t xml:space="preserve"> </w:t>
      </w:r>
      <w:r>
        <w:rPr>
          <w:b/>
          <w:bCs/>
        </w:rPr>
        <w:t xml:space="preserve">BIS Entity, Denied Persons, and Unverified Lists</w:t>
      </w:r>
      <w:r>
        <w:t xml:space="preserve"> </w:t>
      </w:r>
      <w:r>
        <w:t xml:space="preserve">(each a</w:t>
      </w:r>
      <w:r>
        <w:t xml:space="preserve"> </w:t>
      </w:r>
      <w:r>
        <w:t xml:space="preserve">“</w:t>
      </w:r>
      <w:r>
        <w:rPr>
          <w:b/>
          <w:bCs/>
        </w:rPr>
        <w:t xml:space="preserve">Sanctioned Party</w:t>
      </w:r>
      <w:r>
        <w:t xml:space="preserve">”</w:t>
      </w:r>
      <w:r>
        <w:t xml:space="preserve">). Distributor shall comply with all applicable US (OFAC and EAR), EU, UK, and local export-control and sanctions laws, and shall</w:t>
      </w:r>
      <w:r>
        <w:t xml:space="preserve"> </w:t>
      </w:r>
      <w:r>
        <w:rPr>
          <w:b/>
          <w:bCs/>
        </w:rPr>
        <w:t xml:space="preserve">not export, re-export, sell, divert, or transfer any Product, directly or indirectly, to or through any comprehensively embargoed jurisdiction or to any Sanctioned Party, or for any prohibited biological, chemical, nuclear, or other dual-use end use.</w:t>
      </w:r>
      <w:r>
        <w:t xml:space="preserve"> </w:t>
      </w:r>
      <w:r>
        <w:t xml:space="preserve">Distributor shall obtain all required licences, flow these obligations down to its sub-distributors and customers, and maintain screening records available for audit.</w:t>
      </w:r>
    </w:p>
    <w:p>
      <w:pPr>
        <w:pStyle w:val="BodyText"/>
      </w:pPr>
      <w:r>
        <w:rPr>
          <w:b/>
          <w:bCs/>
        </w:rPr>
        <w:t xml:space="preserve">36.6 Remedies.</w:t>
      </w:r>
      <w:r>
        <w:t xml:space="preserve"> </w:t>
      </w:r>
      <w:r>
        <w:t xml:space="preserve">Any breach of this Section 36 is a</w:t>
      </w:r>
      <w:r>
        <w:t xml:space="preserve"> </w:t>
      </w:r>
      <w:r>
        <w:rPr>
          <w:b/>
          <w:bCs/>
        </w:rPr>
        <w:t xml:space="preserve">material breach permitting immediate termination</w:t>
      </w:r>
      <w:r>
        <w:t xml:space="preserve"> </w:t>
      </w:r>
      <w:r>
        <w:t xml:space="preserve">under Section 38.4, without cure and without liability to MADE. MADE may</w:t>
      </w:r>
      <w:r>
        <w:t xml:space="preserve"> </w:t>
      </w:r>
      <w:r>
        <w:rPr>
          <w:b/>
          <w:bCs/>
        </w:rPr>
        <w:t xml:space="preserve">suspend performance</w:t>
      </w:r>
      <w:r>
        <w:t xml:space="preserve">, including shipments, Samples, and Database access, pending investigation of a suspected breach. Distributor shall indemnify MADE under Section 34.2(b).</w:t>
      </w:r>
    </w:p>
    <w:p>
      <w:r>
        <w:pict>
          <v:rect style="width:0;height:1.5pt" o:hralign="center" o:hrstd="t" o:hr="t"/>
        </w:pict>
      </w:r>
    </w:p>
    <w:bookmarkEnd w:id="49"/>
    <w:bookmarkStart w:id="50" w:name="term"/>
    <w:p>
      <w:pPr>
        <w:pStyle w:val="Heading1"/>
      </w:pPr>
      <w:r>
        <w:t xml:space="preserve">37. TERM</w:t>
      </w:r>
    </w:p>
    <w:p>
      <w:pPr>
        <w:pStyle w:val="FirstParagraph"/>
      </w:pPr>
      <w:r>
        <w:rPr>
          <w:b/>
          <w:bCs/>
        </w:rPr>
        <w:t xml:space="preserve">37.1 Initial Term.</w:t>
      </w:r>
      <w:r>
        <w:t xml:space="preserve"> </w:t>
      </w:r>
      <w:r>
        <w:t xml:space="preserve">This Agreement commences on the Effective Date and continues for</w:t>
      </w:r>
      <w:r>
        <w:t xml:space="preserve"> </w:t>
      </w:r>
      <w:r>
        <w:rPr>
          <w:rStyle w:val="VerbatimChar"/>
        </w:rPr>
        <w:t xml:space="preserve">[three (3)]</w:t>
      </w:r>
      <w:r>
        <w:t xml:space="preserve"> </w:t>
      </w:r>
      <w:r>
        <w:t xml:space="preserve">years (the</w:t>
      </w:r>
      <w:r>
        <w:t xml:space="preserve"> </w:t>
      </w:r>
      <w:r>
        <w:t xml:space="preserve">“</w:t>
      </w:r>
      <w:r>
        <w:rPr>
          <w:b/>
          <w:bCs/>
        </w:rPr>
        <w:t xml:space="preserve">Initial Term</w:t>
      </w:r>
      <w:r>
        <w:t xml:space="preserve">”</w:t>
      </w:r>
      <w:r>
        <w:t xml:space="preserve">), unless terminated earlier.</w:t>
      </w:r>
    </w:p>
    <w:p>
      <w:pPr>
        <w:pStyle w:val="BodyText"/>
      </w:pPr>
      <w:r>
        <w:rPr>
          <w:b/>
          <w:bCs/>
        </w:rPr>
        <w:t xml:space="preserve">37.2 Renewal.</w:t>
      </w:r>
      <w:r>
        <w:t xml:space="preserve"> </w:t>
      </w:r>
      <w:r>
        <w:rPr>
          <w:b/>
          <w:bCs/>
        </w:rPr>
        <w:t xml:space="preserve">This Agreement does not renew automatically or tacitly.</w:t>
      </w:r>
      <w:r>
        <w:t xml:space="preserve"> </w:t>
      </w:r>
      <w:r>
        <w:t xml:space="preserve">It may be renewed only by a written agreement expressly referring to this Section 37.2 and signed by an authorised representative of each Party, for such further period as the Parties agree. Any conduct of the Parties after expiry, including continued supply, shall not constitute a renewal or an implied agreement of indefinite duration; Products supplied after expiry are supplied on the terms of this Agreement as a matter of contract for that supply only.</w:t>
      </w:r>
    </w:p>
    <w:p>
      <w:r>
        <w:pict>
          <v:rect style="width:0;height:1.5pt" o:hralign="center" o:hrstd="t" o:hr="t"/>
        </w:pict>
      </w:r>
    </w:p>
    <w:bookmarkEnd w:id="50"/>
    <w:bookmarkStart w:id="51" w:name="termination"/>
    <w:p>
      <w:pPr>
        <w:pStyle w:val="Heading1"/>
      </w:pPr>
      <w:r>
        <w:t xml:space="preserve">38. TERMINATION</w:t>
      </w:r>
    </w:p>
    <w:p>
      <w:pPr>
        <w:pStyle w:val="FirstParagraph"/>
      </w:pPr>
      <w:r>
        <w:rPr>
          <w:b/>
          <w:bCs/>
        </w:rPr>
        <w:t xml:space="preserve">38.1 For Convenience.</w:t>
      </w:r>
      <w:r>
        <w:t xml:space="preserve"> </w:t>
      </w:r>
      <w:r>
        <w:t xml:space="preserve">Either Party may terminate this Agreement for convenience on</w:t>
      </w:r>
      <w:r>
        <w:t xml:space="preserve"> </w:t>
      </w:r>
      <w:r>
        <w:rPr>
          <w:rStyle w:val="VerbatimChar"/>
        </w:rPr>
        <w:t xml:space="preserve">[ninety (90)]</w:t>
      </w:r>
      <w:r>
        <w:t xml:space="preserve"> </w:t>
      </w:r>
      <w:r>
        <w:t xml:space="preserve">days’ prior written notice,</w:t>
      </w:r>
      <w:r>
        <w:t xml:space="preserve"> </w:t>
      </w:r>
      <w:r>
        <w:rPr>
          <w:rStyle w:val="VerbatimChar"/>
        </w:rPr>
        <w:t xml:space="preserve">[provided that MADE may not give such notice before the first anniversary of the Effective Date]</w:t>
      </w:r>
      <w:r>
        <w:t xml:space="preserve">.</w:t>
      </w:r>
    </w:p>
    <w:p>
      <w:pPr>
        <w:pStyle w:val="BodyText"/>
      </w:pPr>
      <w:r>
        <w:rPr>
          <w:b/>
          <w:bCs/>
        </w:rPr>
        <w:t xml:space="preserve">38.2 For Material Breach.</w:t>
      </w:r>
      <w:r>
        <w:t xml:space="preserve"> </w:t>
      </w:r>
      <w:r>
        <w:t xml:space="preserve">Either Party may terminate on written notice if the other commits a material breach and fails to remedy it within</w:t>
      </w:r>
      <w:r>
        <w:t xml:space="preserve"> </w:t>
      </w:r>
      <w:r>
        <w:rPr>
          <w:b/>
          <w:bCs/>
        </w:rPr>
        <w:t xml:space="preserve">thirty (30) days</w:t>
      </w:r>
      <w:r>
        <w:t xml:space="preserve"> </w:t>
      </w:r>
      <w:r>
        <w:t xml:space="preserve">of written notice specifying the breach and requiring its remedy (or, for a payment breach,</w:t>
      </w:r>
      <w:r>
        <w:t xml:space="preserve"> </w:t>
      </w:r>
      <w:r>
        <w:rPr>
          <w:b/>
          <w:bCs/>
        </w:rPr>
        <w:t xml:space="preserve">ten (10) Business Days</w:t>
      </w:r>
      <w:r>
        <w:t xml:space="preserve">).</w:t>
      </w:r>
    </w:p>
    <w:p>
      <w:pPr>
        <w:pStyle w:val="BodyText"/>
      </w:pPr>
      <w:r>
        <w:rPr>
          <w:b/>
          <w:bCs/>
        </w:rPr>
        <w:t xml:space="preserve">38.3 Insolvency.</w:t>
      </w:r>
      <w:r>
        <w:t xml:space="preserve"> </w:t>
      </w:r>
      <w:r>
        <w:t xml:space="preserve">Either Party may terminate immediately on written notice if the other becomes insolvent, is unable to pay its debts as they fall due, enters liquidation, administration, receivership, or an analogous procedure, or makes an assignment for the benefit of creditors, in each case to the extent permitted by Applicable Law.</w:t>
      </w:r>
    </w:p>
    <w:p>
      <w:pPr>
        <w:pStyle w:val="BodyText"/>
      </w:pPr>
      <w:r>
        <w:rPr>
          <w:b/>
          <w:bCs/>
        </w:rPr>
        <w:t xml:space="preserve">38.4 Immediate Termination by MADE.</w:t>
      </w:r>
      <w:r>
        <w:t xml:space="preserve"> </w:t>
      </w:r>
      <w:r>
        <w:t xml:space="preserve">MADE may terminate this Agreement,</w:t>
      </w:r>
      <w:r>
        <w:t xml:space="preserve"> </w:t>
      </w:r>
      <w:r>
        <w:rPr>
          <w:b/>
          <w:bCs/>
        </w:rPr>
        <w:t xml:space="preserve">or suspend performance</w:t>
      </w:r>
      <w:r>
        <w:t xml:space="preserve">, immediately on written notice and</w:t>
      </w:r>
      <w:r>
        <w:t xml:space="preserve"> </w:t>
      </w:r>
      <w:r>
        <w:rPr>
          <w:b/>
          <w:bCs/>
        </w:rPr>
        <w:t xml:space="preserve">without any cure period</w:t>
      </w:r>
      <w:r>
        <w:t xml:space="preserve">, if:</w:t>
      </w:r>
    </w:p>
    <w:p>
      <w:pPr>
        <w:numPr>
          <w:ilvl w:val="0"/>
          <w:numId w:val="1018"/>
        </w:numPr>
      </w:pPr>
      <w:r>
        <w:t xml:space="preserve">Distributor, any sub-distributor, or any customer engages in any</w:t>
      </w:r>
      <w:r>
        <w:t xml:space="preserve"> </w:t>
      </w:r>
      <w:r>
        <w:rPr>
          <w:b/>
          <w:bCs/>
        </w:rPr>
        <w:t xml:space="preserve">Prohibited Clinical Use</w:t>
      </w:r>
      <w:r>
        <w:t xml:space="preserve">, or Distributor breaches any provision of</w:t>
      </w:r>
      <w:r>
        <w:t xml:space="preserve"> </w:t>
      </w:r>
      <w:r>
        <w:rPr>
          <w:b/>
          <w:bCs/>
        </w:rPr>
        <w:t xml:space="preserve">Section 17</w:t>
      </w:r>
      <w:r>
        <w:t xml:space="preserve">;</w:t>
      </w:r>
    </w:p>
    <w:p>
      <w:pPr>
        <w:numPr>
          <w:ilvl w:val="0"/>
          <w:numId w:val="1018"/>
        </w:numPr>
      </w:pPr>
      <w:r>
        <w:t xml:space="preserve">Distributor breaches</w:t>
      </w:r>
      <w:r>
        <w:t xml:space="preserve"> </w:t>
      </w:r>
      <w:r>
        <w:rPr>
          <w:b/>
          <w:bCs/>
        </w:rPr>
        <w:t xml:space="preserve">Section 36</w:t>
      </w:r>
      <w:r>
        <w:t xml:space="preserve"> </w:t>
      </w:r>
      <w:r>
        <w:t xml:space="preserve">(Compliance; Anti-Corruption; Sanctions) or</w:t>
      </w:r>
      <w:r>
        <w:t xml:space="preserve"> </w:t>
      </w:r>
      <w:r>
        <w:rPr>
          <w:b/>
          <w:bCs/>
        </w:rPr>
        <w:t xml:space="preserve">Section 28</w:t>
      </w:r>
      <w:r>
        <w:t xml:space="preserve"> </w:t>
      </w:r>
      <w:r>
        <w:t xml:space="preserve">(Database);</w:t>
      </w:r>
    </w:p>
    <w:p>
      <w:pPr>
        <w:numPr>
          <w:ilvl w:val="0"/>
          <w:numId w:val="1018"/>
        </w:numPr>
      </w:pPr>
      <w:r>
        <w:t xml:space="preserve">Distributor or any of its principals becomes a Sanctioned Party, or is debarred, excluded, or convicted of any offence involving fraud, bribery, or dishonesty;</w:t>
      </w:r>
    </w:p>
    <w:p>
      <w:pPr>
        <w:numPr>
          <w:ilvl w:val="0"/>
          <w:numId w:val="1018"/>
        </w:numPr>
      </w:pPr>
      <w:r>
        <w:t xml:space="preserve">Distributor removes, alters, or obscures the RUO Legend, or relabels or repackages any Product other than as permitted by Schedule H;</w:t>
      </w:r>
    </w:p>
    <w:p>
      <w:pPr>
        <w:numPr>
          <w:ilvl w:val="0"/>
          <w:numId w:val="1018"/>
        </w:numPr>
      </w:pPr>
      <w:r>
        <w:t xml:space="preserve">Distributor refuses or obstructs an audit under Section 24;</w:t>
      </w:r>
    </w:p>
    <w:p>
      <w:pPr>
        <w:numPr>
          <w:ilvl w:val="0"/>
          <w:numId w:val="1018"/>
        </w:numPr>
      </w:pPr>
      <w:r>
        <w:t xml:space="preserve">any Governmental Authority commences an inquiry, inspection, or enforcement action, or issues a warning letter, in respect of a Product in the Territory; or</w:t>
      </w:r>
    </w:p>
    <w:p>
      <w:pPr>
        <w:numPr>
          <w:ilvl w:val="0"/>
          <w:numId w:val="1018"/>
        </w:numPr>
      </w:pPr>
      <w:r>
        <w:t xml:space="preserve">MADE forms a good-faith belief that continued supply to Distributor would expose MADE to material regulatory, criminal, or reputational risk.</w:t>
      </w:r>
    </w:p>
    <w:p>
      <w:pPr>
        <w:pStyle w:val="FirstParagraph"/>
      </w:pPr>
      <w:r>
        <w:rPr>
          <w:b/>
          <w:bCs/>
        </w:rPr>
        <w:t xml:space="preserve">38.5 Change of Control.</w:t>
      </w:r>
      <w:r>
        <w:t xml:space="preserve"> </w:t>
      </w:r>
      <w:r>
        <w:t xml:space="preserve">MADE may terminate on</w:t>
      </w:r>
      <w:r>
        <w:t xml:space="preserve"> </w:t>
      </w:r>
      <w:r>
        <w:rPr>
          <w:rStyle w:val="VerbatimChar"/>
        </w:rPr>
        <w:t xml:space="preserve">[thirty (30)]</w:t>
      </w:r>
      <w:r>
        <w:t xml:space="preserve"> </w:t>
      </w:r>
      <w:r>
        <w:t xml:space="preserve">days’ written notice if a person that is a competitor of MADE, or a Sanctioned Party, acquires control of Distributor. Distributor shall notify MADE of any change of control within</w:t>
      </w:r>
      <w:r>
        <w:t xml:space="preserve"> </w:t>
      </w:r>
      <w:r>
        <w:rPr>
          <w:rStyle w:val="VerbatimChar"/>
        </w:rPr>
        <w:t xml:space="preserve">[ten (10)]</w:t>
      </w:r>
      <w:r>
        <w:t xml:space="preserve"> </w:t>
      </w:r>
      <w:r>
        <w:t xml:space="preserve">Business Days.</w:t>
      </w:r>
    </w:p>
    <w:p>
      <w:pPr>
        <w:pStyle w:val="BodyText"/>
      </w:pPr>
      <w:r>
        <w:rPr>
          <w:b/>
          <w:bCs/>
        </w:rPr>
        <w:t xml:space="preserve">38.6 No Liability for Termination.</w:t>
      </w:r>
      <w:r>
        <w:t xml:space="preserve"> </w:t>
      </w:r>
      <w:r>
        <w:rPr>
          <w:b/>
          <w:bCs/>
        </w:rPr>
        <w:t xml:space="preserve">Termination in accordance with this Section 38 is a contractual right and not a breach.</w:t>
      </w:r>
      <w:r>
        <w:t xml:space="preserve"> </w:t>
      </w:r>
      <w:r>
        <w:t xml:space="preserve">Neither Party shall be liable to the other for damages, indemnity, compensation, goodwill, loss of profit, lost investment, or any other payment by reason only of the lawful termination or expiry of this Agreement.</w:t>
      </w:r>
    </w:p>
    <w:p>
      <w:r>
        <w:pict>
          <v:rect style="width:0;height:1.5pt" o:hralign="center" o:hrstd="t" o:hr="t"/>
        </w:pict>
      </w:r>
    </w:p>
    <w:bookmarkEnd w:id="51"/>
    <w:bookmarkStart w:id="52" w:name="effects-of-termination"/>
    <w:p>
      <w:pPr>
        <w:pStyle w:val="Heading1"/>
      </w:pPr>
      <w:r>
        <w:t xml:space="preserve">39. EFFECTS OF TERMINATION</w:t>
      </w:r>
    </w:p>
    <w:p>
      <w:pPr>
        <w:pStyle w:val="FirstParagraph"/>
      </w:pPr>
      <w:r>
        <w:rPr>
          <w:b/>
          <w:bCs/>
        </w:rPr>
        <w:t xml:space="preserve">39.1 Cessation.</w:t>
      </w:r>
      <w:r>
        <w:t xml:space="preserve"> </w:t>
      </w:r>
      <w:r>
        <w:t xml:space="preserve">On expiry or termination, Distributor shall immediately cease to hold itself out as a distributor of the Products, cease all use of the MADE Marks (subject to Section 39.3), cease all access to and use of the Database, and return or destroy MADE’s Confidential Information in accordance with Section 29.6.</w:t>
      </w:r>
    </w:p>
    <w:p>
      <w:pPr>
        <w:pStyle w:val="BodyText"/>
      </w:pPr>
      <w:r>
        <w:rPr>
          <w:b/>
          <w:bCs/>
        </w:rPr>
        <w:t xml:space="preserve">39.2 Outstanding Orders.</w:t>
      </w:r>
      <w:r>
        <w:t xml:space="preserve"> </w:t>
      </w:r>
      <w:r>
        <w:t xml:space="preserve">MADE may, at its election, fulfil or cancel any accepted but unfulfilled Purchase Order. All sums owing to MADE become immediately due.</w:t>
      </w:r>
    </w:p>
    <w:p>
      <w:pPr>
        <w:pStyle w:val="BodyText"/>
      </w:pPr>
      <w:r>
        <w:rPr>
          <w:b/>
          <w:bCs/>
        </w:rPr>
        <w:t xml:space="preserve">39.3 Sell-Off.</w:t>
      </w:r>
      <w:r>
        <w:t xml:space="preserve"> </w:t>
      </w:r>
      <w:r>
        <w:rPr>
          <w:b/>
          <w:bCs/>
        </w:rPr>
        <w:t xml:space="preserve">Except where MADE terminates under Section 38.2, 38.3, or 38.4</w:t>
      </w:r>
      <w:r>
        <w:t xml:space="preserve">, Distributor may, for</w:t>
      </w:r>
      <w:r>
        <w:t xml:space="preserve"> </w:t>
      </w:r>
      <w:r>
        <w:rPr>
          <w:rStyle w:val="VerbatimChar"/>
        </w:rPr>
        <w:t xml:space="preserve">[ninety (90)]</w:t>
      </w:r>
      <w:r>
        <w:t xml:space="preserve"> </w:t>
      </w:r>
      <w:r>
        <w:t xml:space="preserve">days after termination, sell off Product then held in its inventory, strictly subject to Sections 17, 19, 20, 21, 22 and 26.</w:t>
      </w:r>
      <w:r>
        <w:t xml:space="preserve"> </w:t>
      </w:r>
      <w:r>
        <w:rPr>
          <w:b/>
          <w:bCs/>
        </w:rPr>
        <w:t xml:space="preserve">The sell-off right is revocable by MADE at any time on notice</w:t>
      </w:r>
      <w:r>
        <w:t xml:space="preserve"> </w:t>
      </w:r>
      <w:r>
        <w:t xml:space="preserve">and does not apply to any Product where MADE reasonably believes a Prohibited Clinical Use may occur.</w:t>
      </w:r>
      <w:r>
        <w:t xml:space="preserve"> </w:t>
      </w:r>
      <w:r>
        <w:rPr>
          <w:b/>
          <w:bCs/>
        </w:rPr>
        <w:t xml:space="preserve">Where MADE terminates under Section 38.4, Distributor shall immediately cease all distribution</w:t>
      </w:r>
      <w:r>
        <w:t xml:space="preserve"> </w:t>
      </w:r>
      <w:r>
        <w:t xml:space="preserve">and shall, at MADE’s election, return the Product (at Distributor’s cost) or destroy it and certify destruction.</w:t>
      </w:r>
    </w:p>
    <w:p>
      <w:pPr>
        <w:pStyle w:val="BodyText"/>
      </w:pPr>
      <w:r>
        <w:rPr>
          <w:b/>
          <w:bCs/>
        </w:rPr>
        <w:t xml:space="preserve">39.4 Repurchase at MADE’s Option.</w:t>
      </w:r>
      <w:r>
        <w:t xml:space="preserve"> </w:t>
      </w:r>
      <w:r>
        <w:t xml:space="preserve">MADE</w:t>
      </w:r>
      <w:r>
        <w:t xml:space="preserve"> </w:t>
      </w:r>
      <w:r>
        <w:rPr>
          <w:b/>
          <w:bCs/>
        </w:rPr>
        <w:t xml:space="preserve">may, but is not obliged to</w:t>
      </w:r>
      <w:r>
        <w:t xml:space="preserve">, repurchase any unsold, unopened Product in Distributor’s inventory that remains within its shelf life and has been demonstrably stored in accordance with Section 19, at</w:t>
      </w:r>
      <w:r>
        <w:t xml:space="preserve"> </w:t>
      </w:r>
      <w:r>
        <w:rPr>
          <w:rStyle w:val="VerbatimChar"/>
        </w:rPr>
        <w:t xml:space="preserve">[the lesser of the price Distributor paid and MADE's then-current price]</w:t>
      </w:r>
      <w:r>
        <w:t xml:space="preserve">,</w:t>
      </w:r>
      <w:r>
        <w:t xml:space="preserve"> </w:t>
      </w:r>
      <w:r>
        <w:rPr>
          <w:b/>
          <w:bCs/>
        </w:rPr>
        <w:t xml:space="preserve">less</w:t>
      </w:r>
      <w:r>
        <w:t xml:space="preserve"> </w:t>
      </w:r>
      <w:r>
        <w:t xml:space="preserve">the costs of retrieval, transport, testing, and requalification. MADE shall have no obligation to repurchase any Custom Product, Custom Configuration, White Label Product, or Product bearing the Distributor Marks, which Distributor shall destroy under Section 26.8.</w:t>
      </w:r>
    </w:p>
    <w:p>
      <w:pPr>
        <w:pStyle w:val="BodyText"/>
      </w:pPr>
      <w:r>
        <w:rPr>
          <w:b/>
          <w:bCs/>
        </w:rPr>
        <w:t xml:space="preserve">39.5 Custom Inventory.</w:t>
      </w:r>
      <w:r>
        <w:t xml:space="preserve"> </w:t>
      </w:r>
      <w:r>
        <w:t xml:space="preserve">Section 26.8 applies to inventory, labels, and packaging bearing the Distributor Marks.</w:t>
      </w:r>
    </w:p>
    <w:p>
      <w:pPr>
        <w:pStyle w:val="BodyText"/>
      </w:pPr>
      <w:r>
        <w:rPr>
          <w:b/>
          <w:bCs/>
        </w:rPr>
        <w:t xml:space="preserve">39.6 Customers; Registrations.</w:t>
      </w:r>
      <w:r>
        <w:t xml:space="preserve"> </w:t>
      </w:r>
      <w:r>
        <w:t xml:space="preserve">The Parties acknowledge that customer relationships developed in respect of the Products relate to MADE’s Products. Distributor shall, on request, deliver to MADE a complete list of its customers for the Products, their contact details, and the Lots supplied to each, and shall cooperate in the orderly transition of supply for a period of</w:t>
      </w:r>
      <w:r>
        <w:t xml:space="preserve"> </w:t>
      </w:r>
      <w:r>
        <w:rPr>
          <w:rStyle w:val="VerbatimChar"/>
        </w:rPr>
        <w:t xml:space="preserve">[ninety (90)]</w:t>
      </w:r>
      <w:r>
        <w:t xml:space="preserve"> </w:t>
      </w:r>
      <w:r>
        <w:t xml:space="preserve">days at MADE’s cost.</w:t>
      </w:r>
      <w:r>
        <w:t xml:space="preserve"> </w:t>
      </w:r>
      <w:r>
        <w:rPr>
          <w:b/>
          <w:bCs/>
        </w:rPr>
        <w:t xml:space="preserve">Distributor shall, at MADE’s request and cost, promptly assign or transfer to MADE (or to MADE’s nominee) all product registrations, import licences, permits, and notifications relating to the Products that Distributor holds in the Territory</w:t>
      </w:r>
      <w:r>
        <w:t xml:space="preserve">, and shall execute all documents and do all things necessary to effect the transfer. Distributor shall not assert any lien or retention right over any such registration.</w:t>
      </w:r>
    </w:p>
    <w:p>
      <w:pPr>
        <w:pStyle w:val="BodyText"/>
      </w:pPr>
      <w:r>
        <w:rPr>
          <w:b/>
          <w:bCs/>
        </w:rPr>
        <w:t xml:space="preserve">39.7 No Compensation.</w:t>
      </w:r>
      <w:r>
        <w:t xml:space="preserve"> </w:t>
      </w:r>
      <w:r>
        <w:rPr>
          <w:b/>
          <w:bCs/>
        </w:rPr>
        <w:t xml:space="preserve">Distributor irrevocably waives, to the fullest extent permitted by Applicable Law, any right to any indemnity, goodwill payment, clientele compensation, severance, reimbursement of investment, or other compensation arising from the expiry, termination, or non-renewal of this Agreement</w:t>
      </w:r>
      <w:r>
        <w:t xml:space="preserve">, whether under contract, statute, or otherwise. Distributor acknowledges that it is an independent reseller and not a commercial agent, and that it has not been induced to make, and MADE has not requested, any investment in reliance on any expectation of renewal.</w:t>
      </w:r>
    </w:p>
    <w:p>
      <w:pPr>
        <w:pStyle w:val="BodyText"/>
      </w:pPr>
      <w:r>
        <w:rPr>
          <w:b/>
          <w:bCs/>
        </w:rPr>
        <w:t xml:space="preserve">39.8 Mandatory Local Law.</w:t>
      </w:r>
      <w:r>
        <w:t xml:space="preserve"> </w:t>
      </w:r>
      <w:r>
        <w:t xml:space="preserve">Section 39.7 applies only to the extent permitted by Applicable Law.</w:t>
      </w:r>
      <w:r>
        <w:t xml:space="preserve"> </w:t>
      </w:r>
      <w:r>
        <w:rPr>
          <w:b/>
          <w:bCs/>
        </w:rPr>
        <w:t xml:space="preserve">The Parties acknowledge that certain jurisdictions confer non-waivable rights to compensation or just-cause protection on distributors and dealers</w:t>
      </w:r>
      <w:r>
        <w:t xml:space="preserve"> </w:t>
      </w:r>
      <w:r>
        <w:t xml:space="preserve">(see Exhibit 1). Where and to the extent such a law applies notwithstanding Section 42, the remainder of this Agreement shall continue in full force, and the compensation payable shall be the minimum the applicable law requires.</w:t>
      </w:r>
    </w:p>
    <w:p>
      <w:pPr>
        <w:pStyle w:val="BodyText"/>
      </w:pPr>
      <w:r>
        <w:rPr>
          <w:b/>
          <w:bCs/>
        </w:rPr>
        <w:t xml:space="preserve">39.9 Survival.</w:t>
      </w:r>
      <w:r>
        <w:t xml:space="preserve"> </w:t>
      </w:r>
      <w:r>
        <w:t xml:space="preserve">Sections 1, 9.5, 10, 12.2, 12.3, 14.4, 15.5, 17, 20, 21, 22, 24.3, 25.4, 25.5, 26.5, 26.6, 26.7, 26.8, 28.3, 28.4, 28.5, 28.7, 29, 30, 32, 33, 34, 35 (for the stated tail), 36, 39, 40, 42, 43 and 44, and any Schedule expressed to survive, survive expiry or termination.</w:t>
      </w:r>
    </w:p>
    <w:p>
      <w:r>
        <w:pict>
          <v:rect style="width:0;height:1.5pt" o:hralign="center" o:hrstd="t" o:hr="t"/>
        </w:pict>
      </w:r>
    </w:p>
    <w:bookmarkEnd w:id="52"/>
    <w:bookmarkStart w:id="53" w:name="force-majeure"/>
    <w:p>
      <w:pPr>
        <w:pStyle w:val="Heading1"/>
      </w:pPr>
      <w:r>
        <w:t xml:space="preserve">40. FORCE MAJEURE</w:t>
      </w:r>
    </w:p>
    <w:p>
      <w:pPr>
        <w:pStyle w:val="FirstParagraph"/>
      </w:pPr>
      <w:r>
        <w:rPr>
          <w:b/>
          <w:bCs/>
        </w:rPr>
        <w:t xml:space="preserve">40.1</w:t>
      </w:r>
      <w:r>
        <w:t xml:space="preserve"> </w:t>
      </w:r>
      <w:r>
        <w:t xml:space="preserve">Neither Party is liable for any failure or delay in performance (other than a payment obligation) caused by an event beyond its reasonable control, including act of God, fire, flood, earthquake, epidemic or pandemic, war, terrorism, civil unrest, labour dispute, act of government, embargo, cyber-attack, failure of utilities,</w:t>
      </w:r>
      <w:r>
        <w:t xml:space="preserve"> </w:t>
      </w:r>
      <w:r>
        <w:rPr>
          <w:b/>
          <w:bCs/>
        </w:rPr>
        <w:t xml:space="preserve">failure or shortage of raw materials, reagents, dry ice, or liquid nitrogen, batch failure, failure of a Lot to meet release specifications, carrier or logistics disruption, or regulatory hold</w:t>
      </w:r>
      <w:r>
        <w:t xml:space="preserve"> </w:t>
      </w:r>
      <w:r>
        <w:t xml:space="preserve">(each a</w:t>
      </w:r>
      <w:r>
        <w:t xml:space="preserve"> </w:t>
      </w:r>
      <w:r>
        <w:t xml:space="preserve">“</w:t>
      </w:r>
      <w:r>
        <w:rPr>
          <w:b/>
          <w:bCs/>
        </w:rPr>
        <w:t xml:space="preserve">Force Majeure Event</w:t>
      </w:r>
      <w:r>
        <w:t xml:space="preserve">”</w:t>
      </w:r>
      <w:r>
        <w:t xml:space="preserve">).</w:t>
      </w:r>
    </w:p>
    <w:p>
      <w:pPr>
        <w:pStyle w:val="BodyText"/>
      </w:pPr>
      <w:r>
        <w:rPr>
          <w:b/>
          <w:bCs/>
        </w:rPr>
        <w:t xml:space="preserve">40.2</w:t>
      </w:r>
      <w:r>
        <w:t xml:space="preserve"> </w:t>
      </w:r>
      <w:r>
        <w:t xml:space="preserve">The affected Party shall notify the other promptly, use commercially reasonable efforts to mitigate, and resume performance as soon as practicable. Section 16 (Allocation) applies in addition.</w:t>
      </w:r>
    </w:p>
    <w:p>
      <w:pPr>
        <w:pStyle w:val="BodyText"/>
      </w:pPr>
      <w:r>
        <w:rPr>
          <w:b/>
          <w:bCs/>
        </w:rPr>
        <w:t xml:space="preserve">40.3</w:t>
      </w:r>
      <w:r>
        <w:t xml:space="preserve"> </w:t>
      </w:r>
      <w:r>
        <w:t xml:space="preserve">If a Force Majeure Event continues for more than</w:t>
      </w:r>
      <w:r>
        <w:t xml:space="preserve"> </w:t>
      </w:r>
      <w:r>
        <w:rPr>
          <w:rStyle w:val="VerbatimChar"/>
        </w:rPr>
        <w:t xml:space="preserve">[one hundred and twenty (120)]</w:t>
      </w:r>
      <w:r>
        <w:t xml:space="preserve"> </w:t>
      </w:r>
      <w:r>
        <w:t xml:space="preserve">consecutive days, either Party may terminate this Agreement on thirty (30) days’ written notice, without liability.</w:t>
      </w:r>
    </w:p>
    <w:p>
      <w:r>
        <w:pict>
          <v:rect style="width:0;height:1.5pt" o:hralign="center" o:hrstd="t" o:hr="t"/>
        </w:pict>
      </w:r>
    </w:p>
    <w:bookmarkEnd w:id="53"/>
    <w:bookmarkStart w:id="54" w:name="notices"/>
    <w:p>
      <w:pPr>
        <w:pStyle w:val="Heading1"/>
      </w:pPr>
      <w:r>
        <w:t xml:space="preserve">41. NOTICES</w:t>
      </w:r>
    </w:p>
    <w:p>
      <w:pPr>
        <w:pStyle w:val="FirstParagraph"/>
      </w:pPr>
      <w:r>
        <w:rPr>
          <w:b/>
          <w:bCs/>
        </w:rPr>
        <w:t xml:space="preserve">41.1</w:t>
      </w:r>
      <w:r>
        <w:t xml:space="preserve"> </w:t>
      </w:r>
      <w:r>
        <w:t xml:space="preserve">Notices shall be in writing and delivered by hand, by internationally recognised courier, or by email with confirmed receipt, to the addresses in Schedule B. Notices are effective on delivery, or on the next Business Day if delivered outside business hours.</w:t>
      </w:r>
    </w:p>
    <w:p>
      <w:pPr>
        <w:pStyle w:val="BodyText"/>
      </w:pPr>
      <w:r>
        <w:rPr>
          <w:b/>
          <w:bCs/>
        </w:rPr>
        <w:t xml:space="preserve">41.2</w:t>
      </w:r>
      <w:r>
        <w:t xml:space="preserve"> </w:t>
      </w:r>
      <w:r>
        <w:t xml:space="preserve">Notices under Sections 20 (Adverse Events), 21 (Recall), and 17.4(e) (Diversion) may additionally be given through the channels designated in Schedule F and are effective on transmission.</w:t>
      </w:r>
    </w:p>
    <w:p>
      <w:pPr>
        <w:pStyle w:val="BodyText"/>
      </w:pPr>
      <w:r>
        <w:rPr>
          <w:b/>
          <w:bCs/>
        </w:rPr>
        <w:t xml:space="preserve">41.3</w:t>
      </w:r>
      <w:r>
        <w:t xml:space="preserve"> </w:t>
      </w:r>
      <w:r>
        <w:t xml:space="preserve">A notice of breach, termination, or indemnity must be given by courier</w:t>
      </w:r>
      <w:r>
        <w:t xml:space="preserve"> </w:t>
      </w:r>
      <w:r>
        <w:rPr>
          <w:b/>
          <w:bCs/>
        </w:rPr>
        <w:t xml:space="preserve">and</w:t>
      </w:r>
      <w:r>
        <w:t xml:space="preserve"> </w:t>
      </w:r>
      <w:r>
        <w:t xml:space="preserve">email, and email alone is not sufficient.</w:t>
      </w:r>
    </w:p>
    <w:p>
      <w:r>
        <w:pict>
          <v:rect style="width:0;height:1.5pt" o:hralign="center" o:hrstd="t" o:hr="t"/>
        </w:pict>
      </w:r>
    </w:p>
    <w:bookmarkEnd w:id="54"/>
    <w:bookmarkStart w:id="55" w:name="governing-law-dispute-resolution"/>
    <w:p>
      <w:pPr>
        <w:pStyle w:val="Heading1"/>
      </w:pPr>
      <w:r>
        <w:t xml:space="preserve">42. GOVERNING LAW; DISPUTE RESOLUTION</w:t>
      </w:r>
    </w:p>
    <w:p>
      <w:pPr>
        <w:pStyle w:val="FirstParagraph"/>
      </w:pPr>
      <w:r>
        <w:rPr>
          <w:b/>
          <w:bCs/>
        </w:rPr>
        <w:t xml:space="preserve">42.1 Governing Law.</w:t>
      </w:r>
      <w:r>
        <w:t xml:space="preserve"> </w:t>
      </w:r>
      <w:r>
        <w:t xml:space="preserve">This Agreement, and any non-contractual obligation arising out of or in connection with it, is governed by the laws of the</w:t>
      </w:r>
      <w:r>
        <w:t xml:space="preserve"> </w:t>
      </w:r>
      <w:r>
        <w:rPr>
          <w:b/>
          <w:bCs/>
        </w:rPr>
        <w:t xml:space="preserve">State of</w:t>
      </w:r>
      <w:r>
        <w:rPr>
          <w:b/>
          <w:bCs/>
        </w:rPr>
        <w:t xml:space="preserve"> </w:t>
      </w:r>
      <w:r>
        <w:rPr>
          <w:rStyle w:val="VerbatimChar"/>
          <w:b/>
          <w:bCs/>
        </w:rPr>
        <w:t xml:space="preserve">[Delaware / New York]</w:t>
      </w:r>
      <w:r>
        <w:rPr>
          <w:b/>
          <w:bCs/>
        </w:rPr>
        <w:t xml:space="preserve">, United States</w:t>
      </w:r>
      <w:r>
        <w:t xml:space="preserve">, without regard to its conflict-of-laws principles.</w:t>
      </w:r>
    </w:p>
    <w:p>
      <w:pPr>
        <w:pStyle w:val="BodyText"/>
      </w:pPr>
      <w:r>
        <w:rPr>
          <w:b/>
          <w:bCs/>
        </w:rPr>
        <w:t xml:space="preserve">42.2 CISG Excluded.</w:t>
      </w:r>
      <w:r>
        <w:t xml:space="preserve"> </w:t>
      </w:r>
      <w:r>
        <w:rPr>
          <w:b/>
          <w:bCs/>
        </w:rPr>
        <w:t xml:space="preserve">The United Nations Convention on Contracts for the International Sale of Goods (1980) does not apply to this Agreement.</w:t>
      </w:r>
    </w:p>
    <w:p>
      <w:pPr>
        <w:pStyle w:val="BodyText"/>
      </w:pPr>
      <w:r>
        <w:rPr>
          <w:b/>
          <w:bCs/>
        </w:rPr>
        <w:t xml:space="preserve">42.3 Escalation.</w:t>
      </w:r>
      <w:r>
        <w:t xml:space="preserve"> </w:t>
      </w:r>
      <w:r>
        <w:t xml:space="preserve">Before commencing arbitration, a Party shall give written notice of the dispute, and senior executives of the Parties with authority to settle shall meet (in person or by video) within</w:t>
      </w:r>
      <w:r>
        <w:t xml:space="preserve"> </w:t>
      </w:r>
      <w:r>
        <w:rPr>
          <w:rStyle w:val="VerbatimChar"/>
        </w:rPr>
        <w:t xml:space="preserve">[thirty (30)]</w:t>
      </w:r>
      <w:r>
        <w:t xml:space="preserve"> </w:t>
      </w:r>
      <w:r>
        <w:t xml:space="preserve">days to attempt resolution in good faith.</w:t>
      </w:r>
    </w:p>
    <w:p>
      <w:pPr>
        <w:pStyle w:val="BodyText"/>
      </w:pPr>
      <w:r>
        <w:rPr>
          <w:b/>
          <w:bCs/>
        </w:rPr>
        <w:t xml:space="preserve">42.4 Arbitration.</w:t>
      </w:r>
      <w:r>
        <w:t xml:space="preserve"> </w:t>
      </w:r>
      <w:r>
        <w:t xml:space="preserve">Any dispute arising out of or in connection with this Agreement, including any question as to its existence, validity, or termination, that is not resolved under Section 42.3 shall be</w:t>
      </w:r>
      <w:r>
        <w:t xml:space="preserve"> </w:t>
      </w:r>
      <w:r>
        <w:rPr>
          <w:b/>
          <w:bCs/>
        </w:rPr>
        <w:t xml:space="preserve">finally resolved by arbitration under the Rules of Arbitration of the International Chamber of Commerce</w:t>
      </w:r>
      <w:r>
        <w:t xml:space="preserve">, by</w:t>
      </w:r>
      <w:r>
        <w:t xml:space="preserve"> </w:t>
      </w:r>
      <w:r>
        <w:rPr>
          <w:rStyle w:val="VerbatimChar"/>
        </w:rPr>
        <w:t xml:space="preserve">[one (1) / three (3)]</w:t>
      </w:r>
      <w:r>
        <w:t xml:space="preserve"> </w:t>
      </w:r>
      <w:r>
        <w:t xml:space="preserve">arbitrators appointed in accordance with those Rules. The</w:t>
      </w:r>
      <w:r>
        <w:t xml:space="preserve"> </w:t>
      </w:r>
      <w:r>
        <w:rPr>
          <w:b/>
          <w:bCs/>
        </w:rPr>
        <w:t xml:space="preserve">seat</w:t>
      </w:r>
      <w:r>
        <w:t xml:space="preserve"> </w:t>
      </w:r>
      <w:r>
        <w:t xml:space="preserve">of the arbitration shall be</w:t>
      </w:r>
      <w:r>
        <w:t xml:space="preserve"> </w:t>
      </w:r>
      <w:r>
        <w:rPr>
          <w:rStyle w:val="VerbatimChar"/>
        </w:rPr>
        <w:t xml:space="preserve">[New York, New York, USA / Singapore / Geneva]</w:t>
      </w:r>
      <w:r>
        <w:t xml:space="preserve">. The</w:t>
      </w:r>
      <w:r>
        <w:t xml:space="preserve"> </w:t>
      </w:r>
      <w:r>
        <w:rPr>
          <w:b/>
          <w:bCs/>
        </w:rPr>
        <w:t xml:space="preserve">language</w:t>
      </w:r>
      <w:r>
        <w:t xml:space="preserve"> </w:t>
      </w:r>
      <w:r>
        <w:t xml:space="preserve">shall be</w:t>
      </w:r>
      <w:r>
        <w:t xml:space="preserve"> </w:t>
      </w:r>
      <w:r>
        <w:rPr>
          <w:b/>
          <w:bCs/>
        </w:rPr>
        <w:t xml:space="preserve">English</w:t>
      </w:r>
      <w:r>
        <w:t xml:space="preserve">. The award shall be final and binding, and judgment on it may be entered in any court of competent jurisdiction.</w:t>
      </w:r>
    </w:p>
    <w:p>
      <w:pPr>
        <w:pStyle w:val="BodyText"/>
      </w:pPr>
      <w:r>
        <w:rPr>
          <w:b/>
          <w:bCs/>
        </w:rPr>
        <w:t xml:space="preserve">42.5 Interim and Injunctive Relief.</w:t>
      </w:r>
      <w:r>
        <w:t xml:space="preserve"> </w:t>
      </w:r>
      <w:r>
        <w:t xml:space="preserve">Notwithstanding Section 42.4, either Party may apply to</w:t>
      </w:r>
      <w:r>
        <w:t xml:space="preserve"> </w:t>
      </w:r>
      <w:r>
        <w:rPr>
          <w:b/>
          <w:bCs/>
        </w:rPr>
        <w:t xml:space="preserve">any court of competent jurisdiction, or to an emergency arbitrator</w:t>
      </w:r>
      <w:r>
        <w:t xml:space="preserve">, for interim, conservatory, or injunctive relief, including to restrain any actual or threatened breach of Section 17, 28, 29, or 30.</w:t>
      </w:r>
      <w:r>
        <w:t xml:space="preserve"> </w:t>
      </w:r>
      <w:r>
        <w:rPr>
          <w:b/>
          <w:bCs/>
        </w:rPr>
        <w:t xml:space="preserve">The Parties acknowledge that damages would be an inadequate remedy for breach of those Sections.</w:t>
      </w:r>
    </w:p>
    <w:p>
      <w:pPr>
        <w:pStyle w:val="BodyText"/>
      </w:pPr>
      <w:r>
        <w:rPr>
          <w:b/>
          <w:bCs/>
        </w:rPr>
        <w:t xml:space="preserve">42.6 No Class or Consolidated Proceedings.</w:t>
      </w:r>
      <w:r>
        <w:t xml:space="preserve"> </w:t>
      </w:r>
      <w:r>
        <w:t xml:space="preserve">Disputes shall be arbitrated on an individual basis only, and shall not be consolidated with any other proceeding without both Parties’ consent.</w:t>
      </w:r>
    </w:p>
    <w:p>
      <w:pPr>
        <w:pStyle w:val="BodyText"/>
      </w:pPr>
      <w:r>
        <w:rPr>
          <w:b/>
          <w:bCs/>
        </w:rPr>
        <w:t xml:space="preserve">42.7 Costs.</w:t>
      </w:r>
      <w:r>
        <w:t xml:space="preserve"> </w:t>
      </w:r>
      <w:r>
        <w:t xml:space="preserve">The arbitral tribunal may award costs, including reasonable legal fees, to the prevailing Party.</w:t>
      </w:r>
    </w:p>
    <w:p>
      <w:r>
        <w:pict>
          <v:rect style="width:0;height:1.5pt" o:hralign="center" o:hrstd="t" o:hr="t"/>
        </w:pict>
      </w:r>
    </w:p>
    <w:bookmarkEnd w:id="55"/>
    <w:bookmarkStart w:id="56" w:name="assignment"/>
    <w:p>
      <w:pPr>
        <w:pStyle w:val="Heading1"/>
      </w:pPr>
      <w:r>
        <w:t xml:space="preserve">43. ASSIGNMENT</w:t>
      </w:r>
    </w:p>
    <w:p>
      <w:pPr>
        <w:pStyle w:val="FirstParagraph"/>
      </w:pPr>
      <w:r>
        <w:rPr>
          <w:b/>
          <w:bCs/>
        </w:rPr>
        <w:t xml:space="preserve">43.1</w:t>
      </w:r>
      <w:r>
        <w:t xml:space="preserve"> </w:t>
      </w:r>
      <w:r>
        <w:t xml:space="preserve">Distributor shall not assign, novate, delegate, sub-contract, or otherwise transfer this Agreement or any right or obligation under it, in whole or in part, whether by operation of law, change of control, or otherwise, without MADE’s prior written consent. Any purported transfer in breach is void.</w:t>
      </w:r>
    </w:p>
    <w:p>
      <w:pPr>
        <w:pStyle w:val="BodyText"/>
      </w:pPr>
      <w:r>
        <w:rPr>
          <w:b/>
          <w:bCs/>
        </w:rPr>
        <w:t xml:space="preserve">43.2</w:t>
      </w:r>
      <w:r>
        <w:t xml:space="preserve"> </w:t>
      </w:r>
      <w:r>
        <w:t xml:space="preserve">MADE may assign or novate this Agreement, in whole or in part, to an Affiliate or in connection with a merger, reorganisation, or sale of all or substantially all of the assets or business to which this Agreement relates, on written notice to Distributor.</w:t>
      </w:r>
    </w:p>
    <w:p>
      <w:r>
        <w:pict>
          <v:rect style="width:0;height:1.5pt" o:hralign="center" o:hrstd="t" o:hr="t"/>
        </w:pict>
      </w:r>
    </w:p>
    <w:bookmarkEnd w:id="56"/>
    <w:bookmarkStart w:id="57" w:name="general"/>
    <w:p>
      <w:pPr>
        <w:pStyle w:val="Heading1"/>
      </w:pPr>
      <w:r>
        <w:t xml:space="preserve">44. GENERAL</w:t>
      </w:r>
    </w:p>
    <w:p>
      <w:pPr>
        <w:pStyle w:val="FirstParagraph"/>
      </w:pPr>
      <w:r>
        <w:rPr>
          <w:b/>
          <w:bCs/>
        </w:rPr>
        <w:t xml:space="preserve">44.1 Entire Agreement.</w:t>
      </w:r>
      <w:r>
        <w:t xml:space="preserve"> </w:t>
      </w:r>
      <w:r>
        <w:t xml:space="preserve">This Agreement, together with its Schedules and Exhibits and any executed Change Order, constitutes the entire agreement between the Parties in respect of its subject matter and supersedes all prior agreements, proposals, quotations, and understandings, whether written or oral.</w:t>
      </w:r>
      <w:r>
        <w:t xml:space="preserve"> </w:t>
      </w:r>
      <w:r>
        <w:rPr>
          <w:b/>
          <w:bCs/>
        </w:rPr>
        <w:t xml:space="preserve">Each Party acknowledges that it has not relied on any statement, representation, warranty, or understanding other than those expressly set out in this Agreement</w:t>
      </w:r>
      <w:r>
        <w:t xml:space="preserve">, and its only remedy for breach of those expressly set out is for breach of contract. Nothing limits liability for fraudulent misrepresentation.</w:t>
      </w:r>
    </w:p>
    <w:p>
      <w:pPr>
        <w:pStyle w:val="BodyText"/>
      </w:pPr>
      <w:r>
        <w:rPr>
          <w:b/>
          <w:bCs/>
        </w:rPr>
        <w:t xml:space="preserve">44.2 Order of Precedence.</w:t>
      </w:r>
      <w:r>
        <w:t xml:space="preserve"> </w:t>
      </w:r>
      <w:r>
        <w:t xml:space="preserve">In the event of conflict: (a) an executed Change Order prevails over the Schedules as to its subject matter; (b) the body of this Agreement prevails over the Schedules, except where a Schedule expressly states that it overrides a specified Section; and (c) this Agreement prevails over any Purchase Order, acknowledgement, invoice, or Portal terms.</w:t>
      </w:r>
    </w:p>
    <w:p>
      <w:pPr>
        <w:pStyle w:val="BodyText"/>
      </w:pPr>
      <w:r>
        <w:rPr>
          <w:b/>
          <w:bCs/>
        </w:rPr>
        <w:t xml:space="preserve">44.3 Amendment; Waiver.</w:t>
      </w:r>
      <w:r>
        <w:t xml:space="preserve"> </w:t>
      </w:r>
      <w:r>
        <w:t xml:space="preserve">No amendment is effective unless in writing and signed by both Parties, save that MADE may update Schedule A (Products) and Schedule C (Prices) in accordance with Sections 27.5 and 7.3. No waiver is effective unless in writing, and no failure or delay in exercising a right operates as a waiver of it.</w:t>
      </w:r>
    </w:p>
    <w:p>
      <w:pPr>
        <w:pStyle w:val="BodyText"/>
      </w:pPr>
      <w:r>
        <w:rPr>
          <w:b/>
          <w:bCs/>
        </w:rPr>
        <w:t xml:space="preserve">44.4 Severability.</w:t>
      </w:r>
      <w:r>
        <w:t xml:space="preserve"> </w:t>
      </w:r>
      <w:r>
        <w:t xml:space="preserve">If any provision is held invalid, illegal, or unenforceable, it shall be modified to the minimum extent necessary to make it enforceable, or, if it cannot be, severed, and the remainder of this Agreement shall continue in full force.</w:t>
      </w:r>
    </w:p>
    <w:p>
      <w:pPr>
        <w:pStyle w:val="BodyText"/>
      </w:pPr>
      <w:r>
        <w:rPr>
          <w:b/>
          <w:bCs/>
        </w:rPr>
        <w:t xml:space="preserve">44.5 No Third-Party Rights.</w:t>
      </w:r>
      <w:r>
        <w:t xml:space="preserve"> </w:t>
      </w:r>
      <w:r>
        <w:t xml:space="preserve">No person other than the Parties and their permitted assigns, and the indemnified persons named in Section 34, has any right to enforce any term of this Agreement.</w:t>
      </w:r>
    </w:p>
    <w:p>
      <w:pPr>
        <w:pStyle w:val="BodyText"/>
      </w:pPr>
      <w:r>
        <w:rPr>
          <w:b/>
          <w:bCs/>
        </w:rPr>
        <w:t xml:space="preserve">44.6 Independent Contractors.</w:t>
      </w:r>
      <w:r>
        <w:t xml:space="preserve"> </w:t>
      </w:r>
      <w:r>
        <w:t xml:space="preserve">The Parties are independent contractors. Nothing in this Agreement creates a partnership, joint venture, agency, franchise, employment, or fiduciary relationship.</w:t>
      </w:r>
      <w:r>
        <w:t xml:space="preserve"> </w:t>
      </w:r>
      <w:r>
        <w:rPr>
          <w:b/>
          <w:bCs/>
        </w:rPr>
        <w:t xml:space="preserve">Neither Party is responsible for the acts or omissions of the other, and no conduct of a customer or sub-distributor of Distributor is attributable to MADE.</w:t>
      </w:r>
    </w:p>
    <w:p>
      <w:pPr>
        <w:pStyle w:val="BodyText"/>
      </w:pPr>
      <w:r>
        <w:rPr>
          <w:b/>
          <w:bCs/>
        </w:rPr>
        <w:t xml:space="preserve">44.7 Not a Franchise.</w:t>
      </w:r>
      <w:r>
        <w:t xml:space="preserve"> </w:t>
      </w:r>
      <w:r>
        <w:t xml:space="preserve">The Parties intend that this Agreement is not a franchise, and Distributor pays no franchise fee. Distributor shall not represent otherwise.</w:t>
      </w:r>
    </w:p>
    <w:p>
      <w:pPr>
        <w:pStyle w:val="BodyText"/>
      </w:pPr>
      <w:r>
        <w:rPr>
          <w:b/>
          <w:bCs/>
        </w:rPr>
        <w:t xml:space="preserve">44.8 Counterparts; Electronic Signature.</w:t>
      </w:r>
      <w:r>
        <w:t xml:space="preserve"> </w:t>
      </w:r>
      <w:r>
        <w:t xml:space="preserve">This Agreement may be executed in counterparts, including by electronic signature, each of which is an original and all of which together constitute one instrument.</w:t>
      </w:r>
    </w:p>
    <w:p>
      <w:pPr>
        <w:pStyle w:val="BodyText"/>
      </w:pPr>
      <w:r>
        <w:rPr>
          <w:b/>
          <w:bCs/>
        </w:rPr>
        <w:t xml:space="preserve">44.9 Language.</w:t>
      </w:r>
      <w:r>
        <w:t xml:space="preserve"> </w:t>
      </w:r>
      <w:r>
        <w:t xml:space="preserve">This Agreement is made in the English language, which governs its interpretation. Any translation is for convenience only.</w:t>
      </w:r>
    </w:p>
    <w:p>
      <w:pPr>
        <w:pStyle w:val="BodyText"/>
      </w:pPr>
      <w:r>
        <w:rPr>
          <w:b/>
          <w:bCs/>
        </w:rPr>
        <w:t xml:space="preserve">44.10 Publicity.</w:t>
      </w:r>
      <w:r>
        <w:t xml:space="preserve"> </w:t>
      </w:r>
      <w:r>
        <w:t xml:space="preserve">Neither Party shall issue any press release or public statement referring to the other, or use the other’s name or marks in any public communication, without the other’s prior written consent, save that MADE may identify Distributor as a distributor of the Products.</w:t>
      </w:r>
    </w:p>
    <w:p>
      <w:pPr>
        <w:pStyle w:val="BodyText"/>
      </w:pPr>
      <w:r>
        <w:rPr>
          <w:b/>
          <w:bCs/>
        </w:rPr>
        <w:t xml:space="preserve">44.11 Further Assurance.</w:t>
      </w:r>
      <w:r>
        <w:t xml:space="preserve"> </w:t>
      </w:r>
      <w:r>
        <w:t xml:space="preserve">Each Party shall execute such documents and do such acts as the other reasonably requires to give effect to this Agreement.</w:t>
      </w:r>
    </w:p>
    <w:p>
      <w:pPr>
        <w:pStyle w:val="BodyText"/>
      </w:pPr>
      <w:r>
        <w:rPr>
          <w:b/>
          <w:bCs/>
        </w:rPr>
        <w:t xml:space="preserve">44.12 Cumulative Remedies.</w:t>
      </w:r>
      <w:r>
        <w:t xml:space="preserve"> </w:t>
      </w:r>
      <w:r>
        <w:t xml:space="preserve">Except where this Agreement expressly states that a remedy is sole or exclusive (including Sections 15.5, 21.3, and 32.3), all rights and remedies of a Party under this Agreement are cumulative and in addition to, and not exclusive of, any other right or remedy available at law or in equity. No exercise of one right or remedy precludes the exercise of any other.</w:t>
      </w:r>
    </w:p>
    <w:p>
      <w:pPr>
        <w:pStyle w:val="BodyText"/>
      </w:pPr>
      <w:r>
        <w:rPr>
          <w:b/>
          <w:bCs/>
        </w:rPr>
        <w:t xml:space="preserve">44.13 No Construction Against Drafter.</w:t>
      </w:r>
      <w:r>
        <w:t xml:space="preserve"> </w:t>
      </w:r>
      <w:r>
        <w:t xml:space="preserve">Each Party has had the opportunity to be advised by counsel of its choice in negotiating this Agreement. This Agreement shall be construed according to its fair meaning and not strictly for or against either Party by reason of authorship.</w:t>
      </w:r>
    </w:p>
    <w:p>
      <w:r>
        <w:pict>
          <v:rect style="width:0;height:1.5pt" o:hralign="center" o:hrstd="t" o:hr="t"/>
        </w:pict>
      </w:r>
    </w:p>
    <w:p>
      <w:pPr>
        <w:pStyle w:val="FirstParagraph"/>
      </w:pPr>
      <w:r>
        <w:rPr>
          <w:b/>
          <w:bCs/>
        </w:rPr>
        <w:t xml:space="preserve">IN WITNESS WHEREOF</w:t>
      </w:r>
      <w:r>
        <w:t xml:space="preserve">, the Parties have executed this Agreement as of the Effective Date.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b/>
                <w:bCs/>
              </w:rPr>
              <w:t xml:space="preserve">MADE SCIENTIFIC, INC.</w:t>
            </w:r>
          </w:p>
        </w:tc>
        <w:tc>
          <w:tcPr/>
          <w:p>
            <w:pPr>
              <w:pStyle w:val="Compact"/>
            </w:pPr>
            <w:r>
              <w:rPr>
                <w:rStyle w:val="VerbatimChar"/>
                <w:b/>
                <w:bCs/>
              </w:rPr>
              <w:t xml:space="preserve">[DISTRIBUTOR_LEGAL_NAME]</w:t>
            </w:r>
          </w:p>
        </w:tc>
      </w:tr>
      <w:tr>
        <w:tc>
          <w:tcPr/>
          <w:p>
            <w:pPr>
              <w:pStyle w:val="Compact"/>
            </w:pPr>
            <w:r>
              <w:t xml:space="preserve">Signature: ______________________</w:t>
            </w:r>
          </w:p>
        </w:tc>
        <w:tc>
          <w:tcPr/>
          <w:p>
            <w:pPr>
              <w:pStyle w:val="Compact"/>
            </w:pPr>
            <w:r>
              <w:t xml:space="preserve">Signature: ______________________</w:t>
            </w:r>
          </w:p>
        </w:tc>
      </w:tr>
      <w:tr>
        <w:tc>
          <w:tcPr/>
          <w:p>
            <w:pPr>
              <w:pStyle w:val="Compact"/>
            </w:pPr>
            <w:r>
              <w:t xml:space="preserve">Name:</w:t>
            </w:r>
            <w:r>
              <w:t xml:space="preserve"> </w:t>
            </w:r>
            <w:r>
              <w:rPr>
                <w:rStyle w:val="VerbatimChar"/>
              </w:rPr>
              <w:t xml:space="preserve">[__________]</w:t>
            </w:r>
          </w:p>
        </w:tc>
        <w:tc>
          <w:tcPr/>
          <w:p>
            <w:pPr>
              <w:pStyle w:val="Compact"/>
            </w:pPr>
            <w:r>
              <w:t xml:space="preserve">Name:</w:t>
            </w:r>
            <w:r>
              <w:t xml:space="preserve"> </w:t>
            </w:r>
            <w:r>
              <w:rPr>
                <w:rStyle w:val="VerbatimChar"/>
              </w:rPr>
              <w:t xml:space="preserve">[__________]</w:t>
            </w:r>
          </w:p>
        </w:tc>
      </w:tr>
      <w:tr>
        <w:tc>
          <w:tcPr/>
          <w:p>
            <w:pPr>
              <w:pStyle w:val="Compact"/>
            </w:pPr>
            <w:r>
              <w:t xml:space="preserve">Title:</w:t>
            </w:r>
            <w:r>
              <w:t xml:space="preserve"> </w:t>
            </w:r>
            <w:r>
              <w:rPr>
                <w:rStyle w:val="VerbatimChar"/>
              </w:rPr>
              <w:t xml:space="preserve">[__________]</w:t>
            </w:r>
          </w:p>
        </w:tc>
        <w:tc>
          <w:tcPr/>
          <w:p>
            <w:pPr>
              <w:pStyle w:val="Compact"/>
            </w:pPr>
            <w:r>
              <w:t xml:space="preserve">Title:</w:t>
            </w:r>
            <w:r>
              <w:t xml:space="preserve"> </w:t>
            </w:r>
            <w:r>
              <w:rPr>
                <w:rStyle w:val="VerbatimChar"/>
              </w:rPr>
              <w:t xml:space="preserve">[__________]</w:t>
            </w:r>
          </w:p>
        </w:tc>
      </w:tr>
      <w:tr>
        <w:tc>
          <w:tcPr/>
          <w:p>
            <w:pPr>
              <w:pStyle w:val="Compact"/>
            </w:pPr>
            <w:r>
              <w:t xml:space="preserve">Date:</w:t>
            </w:r>
            <w:r>
              <w:t xml:space="preserve"> </w:t>
            </w:r>
            <w:r>
              <w:rPr>
                <w:rStyle w:val="VerbatimChar"/>
              </w:rPr>
              <w:t xml:space="preserve">[__________]</w:t>
            </w:r>
          </w:p>
        </w:tc>
        <w:tc>
          <w:tcPr/>
          <w:p>
            <w:pPr>
              <w:pStyle w:val="Compact"/>
            </w:pPr>
            <w:r>
              <w:t xml:space="preserve">Date:</w:t>
            </w:r>
            <w:r>
              <w:t xml:space="preserve"> </w:t>
            </w:r>
            <w:r>
              <w:rPr>
                <w:rStyle w:val="VerbatimChar"/>
              </w:rPr>
              <w:t xml:space="preserve">[__________]</w:t>
            </w:r>
          </w:p>
        </w:tc>
      </w:tr>
    </w:tbl>
    <w:p>
      <w:r>
        <w:br w:type="page"/>
      </w:r>
    </w:p>
    <w:bookmarkEnd w:id="57"/>
    <w:bookmarkStart w:id="64" w:name="schedule-a-products-and-specifications"/>
    <w:p>
      <w:pPr>
        <w:pStyle w:val="Heading1"/>
      </w:pPr>
      <w:r>
        <w:t xml:space="preserve">SCHEDULE A — PRODUCTS AND SPECIFICATIONS</w:t>
      </w:r>
    </w:p>
    <w:p>
      <w:pPr>
        <w:pStyle w:val="BlockText"/>
      </w:pPr>
      <w:r>
        <w:t xml:space="preserve">MADE may amend this Schedule A by written notice under Section 27.5. Products added are automatically subject to Section 17.</w:t>
      </w:r>
    </w:p>
    <w:bookmarkStart w:id="58" w:name="X4919c9c8ba31de3eb94461f05c74bee681c2e74"/>
    <w:p>
      <w:pPr>
        <w:pStyle w:val="Heading2"/>
      </w:pPr>
      <w:r>
        <w:t xml:space="preserve">A.1 Current Products (available as at the Effective Date)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w:t>
            </w:r>
          </w:p>
        </w:tc>
        <w:tc>
          <w:tcPr/>
          <w:p>
            <w:pPr>
              <w:pStyle w:val="Compact"/>
            </w:pPr>
            <w:r>
              <w:t xml:space="preserve">Product</w:t>
            </w:r>
          </w:p>
        </w:tc>
        <w:tc>
          <w:tcPr/>
          <w:p>
            <w:pPr>
              <w:pStyle w:val="Compact"/>
            </w:pPr>
            <w:r>
              <w:t xml:space="preserve">Description</w:t>
            </w:r>
          </w:p>
        </w:tc>
        <w:tc>
          <w:tcPr/>
          <w:p>
            <w:pPr>
              <w:pStyle w:val="Compact"/>
            </w:pPr>
            <w:r>
              <w:t xml:space="preserve">Presentation</w:t>
            </w:r>
          </w:p>
        </w:tc>
      </w:tr>
      <w:tr>
        <w:tc>
          <w:tcPr/>
          <w:p>
            <w:pPr>
              <w:pStyle w:val="Compact"/>
            </w:pPr>
            <w:r>
              <w:t xml:space="preserve">P-01</w:t>
            </w:r>
          </w:p>
        </w:tc>
        <w:tc>
          <w:tcPr/>
          <w:p>
            <w:pPr>
              <w:pStyle w:val="Compact"/>
            </w:pPr>
            <w:r>
              <w:rPr>
                <w:b/>
                <w:bCs/>
              </w:rPr>
              <w:t xml:space="preserve">WJ-MSC (2D)</w:t>
            </w:r>
          </w:p>
        </w:tc>
        <w:tc>
          <w:tcPr/>
          <w:p>
            <w:pPr>
              <w:pStyle w:val="Compact"/>
            </w:pPr>
            <w:r>
              <w:t xml:space="preserve">Human umbilical cord Wharton’s Jelly–derived mesenchymal stem cells, 2D adherent expansion</w:t>
            </w:r>
          </w:p>
        </w:tc>
        <w:tc>
          <w:tcPr/>
          <w:p>
            <w:pPr>
              <w:pStyle w:val="Compact"/>
            </w:pPr>
            <w:r>
              <w:rPr>
                <w:rStyle w:val="VerbatimChar"/>
              </w:rPr>
              <w:t xml:space="preserve">[__]</w:t>
            </w:r>
            <w:r>
              <w:t xml:space="preserve"> </w:t>
            </w:r>
            <w:r>
              <w:t xml:space="preserve">cells / vial</w:t>
            </w:r>
          </w:p>
        </w:tc>
      </w:tr>
      <w:tr>
        <w:tc>
          <w:tcPr/>
          <w:p>
            <w:pPr>
              <w:pStyle w:val="Compact"/>
            </w:pPr>
            <w:r>
              <w:t xml:space="preserve">P-02</w:t>
            </w:r>
          </w:p>
        </w:tc>
        <w:tc>
          <w:tcPr/>
          <w:p>
            <w:pPr>
              <w:pStyle w:val="Compact"/>
            </w:pPr>
            <w:r>
              <w:rPr>
                <w:b/>
                <w:bCs/>
              </w:rPr>
              <w:t xml:space="preserve">WJ-MSC Secretome</w:t>
            </w:r>
          </w:p>
        </w:tc>
        <w:tc>
          <w:tcPr/>
          <w:p>
            <w:pPr>
              <w:pStyle w:val="Compact"/>
            </w:pPr>
            <w:r>
              <w:t xml:space="preserve">Conditioned-media-derived secretome of P-01</w:t>
            </w:r>
          </w:p>
        </w:tc>
        <w:tc>
          <w:tcPr/>
          <w:p>
            <w:pPr>
              <w:pStyle w:val="Compact"/>
            </w:pPr>
            <w:r>
              <w:rPr>
                <w:rStyle w:val="VerbatimChar"/>
              </w:rPr>
              <w:t xml:space="preserve">[__]</w:t>
            </w:r>
            <w:r>
              <w:t xml:space="preserve"> </w:t>
            </w:r>
            <w:r>
              <w:t xml:space="preserve">mL / vial</w:t>
            </w:r>
          </w:p>
        </w:tc>
      </w:tr>
      <w:tr>
        <w:tc>
          <w:tcPr/>
          <w:p>
            <w:pPr>
              <w:pStyle w:val="Compact"/>
            </w:pPr>
            <w:r>
              <w:t xml:space="preserve">P-03</w:t>
            </w:r>
          </w:p>
        </w:tc>
        <w:tc>
          <w:tcPr/>
          <w:p>
            <w:pPr>
              <w:pStyle w:val="Compact"/>
            </w:pPr>
            <w:r>
              <w:rPr>
                <w:b/>
                <w:bCs/>
              </w:rPr>
              <w:t xml:space="preserve">WJ-MSC Exosome</w:t>
            </w:r>
          </w:p>
        </w:tc>
        <w:tc>
          <w:tcPr/>
          <w:p>
            <w:pPr>
              <w:pStyle w:val="Compact"/>
            </w:pPr>
            <w:r>
              <w:t xml:space="preserve">Extracellular vesicles / exosomes derived from P-01</w:t>
            </w:r>
          </w:p>
        </w:tc>
        <w:tc>
          <w:tcPr/>
          <w:p>
            <w:pPr>
              <w:pStyle w:val="Compact"/>
            </w:pPr>
            <w:r>
              <w:rPr>
                <w:rStyle w:val="VerbatimChar"/>
              </w:rPr>
              <w:t xml:space="preserve">[__]</w:t>
            </w:r>
            <w:r>
              <w:t xml:space="preserve"> </w:t>
            </w:r>
            <w:r>
              <w:t xml:space="preserve">particles /</w:t>
            </w:r>
            <w:r>
              <w:t xml:space="preserve"> </w:t>
            </w:r>
            <w:r>
              <w:rPr>
                <w:rStyle w:val="VerbatimChar"/>
              </w:rPr>
              <w:t xml:space="preserve">[__]</w:t>
            </w:r>
            <w:r>
              <w:t xml:space="preserve"> </w:t>
            </w:r>
            <w:r>
              <w:t xml:space="preserve">mL vial</w:t>
            </w:r>
          </w:p>
        </w:tc>
      </w:tr>
    </w:tbl>
    <w:bookmarkEnd w:id="58"/>
    <w:bookmarkStart w:id="59" w:name="Xfc1b2ba217ca1db9a2523c35206415964929cc0"/>
    <w:p>
      <w:pPr>
        <w:pStyle w:val="Heading2"/>
      </w:pPr>
      <w:r>
        <w:t xml:space="preserve">A.2 Roadmap Products (indicative only — availability not warranted)</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w:t>
            </w:r>
          </w:p>
        </w:tc>
        <w:tc>
          <w:tcPr/>
          <w:p>
            <w:pPr>
              <w:pStyle w:val="Compact"/>
            </w:pPr>
            <w:r>
              <w:t xml:space="preserve">Product</w:t>
            </w:r>
          </w:p>
        </w:tc>
        <w:tc>
          <w:tcPr/>
          <w:p>
            <w:pPr>
              <w:pStyle w:val="Compact"/>
            </w:pPr>
            <w:r>
              <w:t xml:space="preserve">Target availability</w:t>
            </w:r>
          </w:p>
        </w:tc>
        <w:tc>
          <w:tcPr/>
          <w:p>
            <w:pPr>
              <w:pStyle w:val="Compact"/>
            </w:pPr>
            <w:r>
              <w:t xml:space="preserve">Presentation</w:t>
            </w:r>
          </w:p>
        </w:tc>
      </w:tr>
      <w:tr>
        <w:tc>
          <w:tcPr/>
          <w:p>
            <w:pPr>
              <w:pStyle w:val="Compact"/>
            </w:pPr>
            <w:r>
              <w:t xml:space="preserve">P-04</w:t>
            </w:r>
          </w:p>
        </w:tc>
        <w:tc>
          <w:tcPr/>
          <w:p>
            <w:pPr>
              <w:pStyle w:val="Compact"/>
            </w:pPr>
            <w:r>
              <w:t xml:space="preserve">WJ-MSC (3D)</w:t>
            </w:r>
          </w:p>
        </w:tc>
        <w:tc>
          <w:tcPr/>
          <w:p>
            <w:pPr>
              <w:pStyle w:val="Compact"/>
            </w:pPr>
            <w:r>
              <w:rPr>
                <w:rStyle w:val="VerbatimChar"/>
              </w:rPr>
              <w:t xml:space="preserve">[August 2026]</w:t>
            </w:r>
          </w:p>
        </w:tc>
        <w:tc>
          <w:tcPr/>
          <w:p>
            <w:pPr>
              <w:pStyle w:val="Compact"/>
            </w:pPr>
            <w:r>
              <w:rPr>
                <w:rStyle w:val="VerbatimChar"/>
              </w:rPr>
              <w:t xml:space="preserve">[__]</w:t>
            </w:r>
            <w:r>
              <w:t xml:space="preserve"> </w:t>
            </w:r>
            <w:r>
              <w:t xml:space="preserve">cells / vial</w:t>
            </w:r>
          </w:p>
        </w:tc>
      </w:tr>
      <w:tr>
        <w:tc>
          <w:tcPr/>
          <w:p>
            <w:pPr>
              <w:pStyle w:val="Compact"/>
            </w:pPr>
            <w:r>
              <w:t xml:space="preserve">P-05</w:t>
            </w:r>
          </w:p>
        </w:tc>
        <w:tc>
          <w:tcPr/>
          <w:p>
            <w:pPr>
              <w:pStyle w:val="Compact"/>
            </w:pPr>
            <w:r>
              <w:t xml:space="preserve">WJ-MSC Secretome (3D-derived)</w:t>
            </w:r>
          </w:p>
        </w:tc>
        <w:tc>
          <w:tcPr/>
          <w:p>
            <w:pPr>
              <w:pStyle w:val="Compact"/>
            </w:pPr>
            <w:r>
              <w:rPr>
                <w:rStyle w:val="VerbatimChar"/>
              </w:rPr>
              <w:t xml:space="preserve">[August 2026]</w:t>
            </w:r>
          </w:p>
        </w:tc>
        <w:tc>
          <w:tcPr/>
          <w:p>
            <w:pPr>
              <w:pStyle w:val="Compact"/>
            </w:pPr>
            <w:r>
              <w:rPr>
                <w:rStyle w:val="VerbatimChar"/>
              </w:rPr>
              <w:t xml:space="preserve">[__]</w:t>
            </w:r>
            <w:r>
              <w:t xml:space="preserve"> </w:t>
            </w:r>
            <w:r>
              <w:t xml:space="preserve">mL / vial</w:t>
            </w:r>
          </w:p>
        </w:tc>
      </w:tr>
      <w:tr>
        <w:tc>
          <w:tcPr/>
          <w:p>
            <w:pPr>
              <w:pStyle w:val="Compact"/>
            </w:pPr>
            <w:r>
              <w:t xml:space="preserve">P-06</w:t>
            </w:r>
          </w:p>
        </w:tc>
        <w:tc>
          <w:tcPr/>
          <w:p>
            <w:pPr>
              <w:pStyle w:val="Compact"/>
            </w:pPr>
            <w:r>
              <w:t xml:space="preserve">WJ-MSC Exosome (3D-derived)</w:t>
            </w:r>
          </w:p>
        </w:tc>
        <w:tc>
          <w:tcPr/>
          <w:p>
            <w:pPr>
              <w:pStyle w:val="Compact"/>
            </w:pPr>
            <w:r>
              <w:rPr>
                <w:rStyle w:val="VerbatimChar"/>
              </w:rPr>
              <w:t xml:space="preserve">[August 2026]</w:t>
            </w:r>
          </w:p>
        </w:tc>
        <w:tc>
          <w:tcPr/>
          <w:p>
            <w:pPr>
              <w:pStyle w:val="Compact"/>
            </w:pPr>
            <w:r>
              <w:rPr>
                <w:rStyle w:val="VerbatimChar"/>
              </w:rPr>
              <w:t xml:space="preserve">[__]</w:t>
            </w:r>
            <w:r>
              <w:t xml:space="preserve"> </w:t>
            </w:r>
            <w:r>
              <w:t xml:space="preserve">particles / vial</w:t>
            </w:r>
          </w:p>
        </w:tc>
      </w:tr>
      <w:tr>
        <w:tc>
          <w:tcPr/>
          <w:p>
            <w:pPr>
              <w:pStyle w:val="Compact"/>
            </w:pPr>
            <w:r>
              <w:t xml:space="preserve">P-07</w:t>
            </w:r>
          </w:p>
        </w:tc>
        <w:tc>
          <w:tcPr/>
          <w:p>
            <w:pPr>
              <w:pStyle w:val="Compact"/>
            </w:pPr>
            <w:r>
              <w:rPr>
                <w:b/>
                <w:bCs/>
              </w:rPr>
              <w:t xml:space="preserve">hOMSC</w:t>
            </w:r>
            <w:r>
              <w:t xml:space="preserve"> </w:t>
            </w:r>
            <w:r>
              <w:t xml:space="preserve">— human oral mucosal stem cells</w:t>
            </w:r>
          </w:p>
        </w:tc>
        <w:tc>
          <w:tcPr/>
          <w:p>
            <w:pPr>
              <w:pStyle w:val="Compact"/>
            </w:pPr>
            <w:r>
              <w:rPr>
                <w:rStyle w:val="VerbatimChar"/>
              </w:rPr>
              <w:t xml:space="preserve">[Q1 2027]</w:t>
            </w:r>
          </w:p>
        </w:tc>
        <w:tc>
          <w:tcPr/>
          <w:p>
            <w:pPr>
              <w:pStyle w:val="Compact"/>
            </w:pPr>
            <w:r>
              <w:t xml:space="preserve">20 × 10⁶ cells / vial</w:t>
            </w:r>
          </w:p>
        </w:tc>
      </w:tr>
      <w:tr>
        <w:tc>
          <w:tcPr/>
          <w:p>
            <w:pPr>
              <w:pStyle w:val="Compact"/>
            </w:pPr>
            <w:r>
              <w:t xml:space="preserve">P-08</w:t>
            </w:r>
          </w:p>
        </w:tc>
        <w:tc>
          <w:tcPr/>
          <w:p>
            <w:pPr>
              <w:pStyle w:val="Compact"/>
            </w:pPr>
            <w:r>
              <w:rPr>
                <w:b/>
                <w:bCs/>
              </w:rPr>
              <w:t xml:space="preserve">BM-MSC Exosome</w:t>
            </w:r>
            <w:r>
              <w:t xml:space="preserve"> </w:t>
            </w:r>
            <w:r>
              <w:t xml:space="preserve">— bone-marrow-derived exosomes</w:t>
            </w:r>
          </w:p>
        </w:tc>
        <w:tc>
          <w:tcPr/>
          <w:p>
            <w:pPr>
              <w:pStyle w:val="Compact"/>
            </w:pPr>
            <w:r>
              <w:rPr>
                <w:rStyle w:val="VerbatimChar"/>
              </w:rPr>
              <w:t xml:space="preserve">[Q1 2027]</w:t>
            </w:r>
          </w:p>
        </w:tc>
        <w:tc>
          <w:tcPr/>
          <w:p>
            <w:pPr>
              <w:pStyle w:val="Compact"/>
            </w:pPr>
            <w:r>
              <w:t xml:space="preserve">10 × 10⁹ exosomes / 2 mL vial</w:t>
            </w:r>
          </w:p>
        </w:tc>
      </w:tr>
      <w:tr>
        <w:tc>
          <w:tcPr/>
          <w:p>
            <w:pPr>
              <w:pStyle w:val="Compact"/>
            </w:pPr>
            <w:r>
              <w:t xml:space="preserve">P-09</w:t>
            </w:r>
          </w:p>
        </w:tc>
        <w:tc>
          <w:tcPr/>
          <w:p>
            <w:pPr>
              <w:pStyle w:val="Compact"/>
            </w:pPr>
            <w:r>
              <w:t xml:space="preserve">Lyophilised Secretome</w:t>
            </w:r>
          </w:p>
        </w:tc>
        <w:tc>
          <w:tcPr/>
          <w:p>
            <w:pPr>
              <w:pStyle w:val="Compact"/>
            </w:pPr>
            <w:r>
              <w:rPr>
                <w:rStyle w:val="VerbatimChar"/>
              </w:rPr>
              <w:t xml:space="preserve">[2027]</w:t>
            </w:r>
          </w:p>
        </w:tc>
        <w:tc>
          <w:tcPr/>
          <w:p>
            <w:pPr>
              <w:pStyle w:val="Compact"/>
            </w:pPr>
            <w:r>
              <w:rPr>
                <w:rStyle w:val="VerbatimChar"/>
              </w:rPr>
              <w:t xml:space="preserve">[TBD]</w:t>
            </w:r>
          </w:p>
        </w:tc>
      </w:tr>
      <w:tr>
        <w:tc>
          <w:tcPr/>
          <w:p>
            <w:pPr>
              <w:pStyle w:val="Compact"/>
            </w:pPr>
            <w:r>
              <w:t xml:space="preserve">P-10</w:t>
            </w:r>
          </w:p>
        </w:tc>
        <w:tc>
          <w:tcPr/>
          <w:p>
            <w:pPr>
              <w:pStyle w:val="Compact"/>
            </w:pPr>
            <w:r>
              <w:t xml:space="preserve">Lyophilised Exosome</w:t>
            </w:r>
          </w:p>
        </w:tc>
        <w:tc>
          <w:tcPr/>
          <w:p>
            <w:pPr>
              <w:pStyle w:val="Compact"/>
            </w:pPr>
            <w:r>
              <w:rPr>
                <w:rStyle w:val="VerbatimChar"/>
              </w:rPr>
              <w:t xml:space="preserve">[2027]</w:t>
            </w:r>
          </w:p>
        </w:tc>
        <w:tc>
          <w:tcPr/>
          <w:p>
            <w:pPr>
              <w:pStyle w:val="Compact"/>
            </w:pPr>
            <w:r>
              <w:rPr>
                <w:rStyle w:val="VerbatimChar"/>
              </w:rPr>
              <w:t xml:space="preserve">[TBD]</w:t>
            </w:r>
          </w:p>
        </w:tc>
      </w:tr>
    </w:tbl>
    <w:p>
      <w:pPr>
        <w:pStyle w:val="BlockText"/>
      </w:pPr>
      <w:r>
        <w:rPr>
          <w:b/>
          <w:bCs/>
        </w:rPr>
        <w:t xml:space="preserve">Roadmap Products are listed for planning purposes only.</w:t>
      </w:r>
      <w:r>
        <w:t xml:space="preserve"> </w:t>
      </w:r>
      <w:r>
        <w:t xml:space="preserve">MADE gives no representation, warranty, or commitment as to the availability, timing, specification, presentation, or price of any Roadmap Product. No Roadmap Product is a Product until MADE adds it to Section A.1 by notice under Section 27.5. Nothing in this Schedule obliges MADE to develop, launch, or supply any Roadmap Product, and no Minimum Purchase Commitment or Product Credit accrues in respect of a Roadmap Product before it is added to Section A.1.</w:t>
      </w:r>
    </w:p>
    <w:bookmarkEnd w:id="59"/>
    <w:bookmarkStart w:id="60" w:name="Xce85b07210758e5ec2080e9f7f96531e383b227"/>
    <w:p>
      <w:pPr>
        <w:pStyle w:val="Heading2"/>
      </w:pPr>
      <w:r>
        <w:t xml:space="preserve">A.3 Custom Products and Custom Configurations</w:t>
      </w:r>
    </w:p>
    <w:p>
      <w:pPr>
        <w:pStyle w:val="FirstParagraph"/>
      </w:pPr>
      <w:r>
        <w:t xml:space="preserve">Custom products, custom fill volumes, custom cell counts, alternative containers (including cryobags), and branded packaging are available case-by-case under</w:t>
      </w:r>
      <w:r>
        <w:t xml:space="preserve"> </w:t>
      </w:r>
      <w:r>
        <w:rPr>
          <w:b/>
          <w:bCs/>
        </w:rPr>
        <w:t xml:space="preserve">Section 27</w:t>
      </w:r>
      <w:r>
        <w:t xml:space="preserve"> </w:t>
      </w:r>
      <w:r>
        <w:t xml:space="preserve">and require an executed</w:t>
      </w:r>
      <w:r>
        <w:t xml:space="preserve"> </w:t>
      </w:r>
      <w:r>
        <w:rPr>
          <w:b/>
          <w:bCs/>
        </w:rPr>
        <w:t xml:space="preserve">Change Order</w:t>
      </w:r>
      <w:r>
        <w:t xml:space="preserve">.</w:t>
      </w:r>
    </w:p>
    <w:bookmarkEnd w:id="60"/>
    <w:bookmarkStart w:id="61" w:name="X0368f609b6be677c2b54144a8e44ecb5312aa39"/>
    <w:p>
      <w:pPr>
        <w:pStyle w:val="Heading2"/>
      </w:pPr>
      <w:r>
        <w:t xml:space="preserve">A.4 Representative Release Specifications — WJ-MSC (P-01)</w:t>
      </w:r>
    </w:p>
    <w:p>
      <w:pPr>
        <w:pStyle w:val="FirstParagraph"/>
      </w:pPr>
      <w:r>
        <w:t xml:space="preserve">Each Lot is released by MADE’s independent Quality Unit against the specifications below, evidenced by the Certificate of Analysis.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Attribute</w:t>
            </w:r>
          </w:p>
        </w:tc>
        <w:tc>
          <w:tcPr/>
          <w:p>
            <w:pPr>
              <w:pStyle w:val="Compact"/>
            </w:pPr>
            <w:r>
              <w:t xml:space="preserve">Method</w:t>
            </w:r>
          </w:p>
        </w:tc>
        <w:tc>
          <w:tcPr/>
          <w:p>
            <w:pPr>
              <w:pStyle w:val="Compact"/>
            </w:pPr>
            <w:r>
              <w:t xml:space="preserve">Acceptance criterion</w:t>
            </w:r>
          </w:p>
        </w:tc>
      </w:tr>
      <w:tr>
        <w:tc>
          <w:tcPr/>
          <w:p>
            <w:pPr>
              <w:pStyle w:val="Compact"/>
            </w:pPr>
            <w:r>
              <w:t xml:space="preserve">Identity — positive surface markers</w:t>
            </w:r>
          </w:p>
        </w:tc>
        <w:tc>
          <w:tcPr/>
          <w:p>
            <w:pPr>
              <w:pStyle w:val="Compact"/>
            </w:pPr>
            <w:r>
              <w:t xml:space="preserve">Flow cytometry</w:t>
            </w:r>
          </w:p>
        </w:tc>
        <w:tc>
          <w:tcPr/>
          <w:p>
            <w:pPr>
              <w:pStyle w:val="Compact"/>
            </w:pPr>
            <w:r>
              <w:t xml:space="preserve">CD73, CD90, CD105 ≥ 95%</w:t>
            </w:r>
          </w:p>
        </w:tc>
      </w:tr>
      <w:tr>
        <w:tc>
          <w:tcPr/>
          <w:p>
            <w:pPr>
              <w:pStyle w:val="Compact"/>
            </w:pPr>
            <w:r>
              <w:t xml:space="preserve">Identity — negative surface markers</w:t>
            </w:r>
          </w:p>
        </w:tc>
        <w:tc>
          <w:tcPr/>
          <w:p>
            <w:pPr>
              <w:pStyle w:val="Compact"/>
            </w:pPr>
            <w:r>
              <w:t xml:space="preserve">Flow cytometry</w:t>
            </w:r>
          </w:p>
        </w:tc>
        <w:tc>
          <w:tcPr/>
          <w:p>
            <w:pPr>
              <w:pStyle w:val="Compact"/>
            </w:pPr>
            <w:r>
              <w:t xml:space="preserve">CD34, CD45, CD19/CD79α, CD11b/CD14, HLA-DR ≤ 2%</w:t>
            </w:r>
          </w:p>
        </w:tc>
      </w:tr>
      <w:tr>
        <w:tc>
          <w:tcPr/>
          <w:p>
            <w:pPr>
              <w:pStyle w:val="Compact"/>
            </w:pPr>
            <w:r>
              <w:t xml:space="preserve">Viability</w:t>
            </w:r>
          </w:p>
        </w:tc>
        <w:tc>
          <w:tcPr/>
          <w:p>
            <w:pPr>
              <w:pStyle w:val="Compact"/>
            </w:pPr>
            <w:r>
              <w:t xml:space="preserve">Post-thaw count</w:t>
            </w:r>
          </w:p>
        </w:tc>
        <w:tc>
          <w:tcPr/>
          <w:p>
            <w:pPr>
              <w:pStyle w:val="Compact"/>
            </w:pPr>
            <w:r>
              <w:t xml:space="preserve">≥ 85% viable cells</w:t>
            </w:r>
          </w:p>
        </w:tc>
      </w:tr>
      <w:tr>
        <w:tc>
          <w:tcPr/>
          <w:p>
            <w:pPr>
              <w:pStyle w:val="Compact"/>
            </w:pPr>
            <w:r>
              <w:t xml:space="preserve">Plastic adherence</w:t>
            </w:r>
          </w:p>
        </w:tc>
        <w:tc>
          <w:tcPr/>
          <w:p>
            <w:pPr>
              <w:pStyle w:val="Compact"/>
            </w:pPr>
            <w:r>
              <w:t xml:space="preserve">Microscopy</w:t>
            </w:r>
          </w:p>
        </w:tc>
        <w:tc>
          <w:tcPr/>
          <w:p>
            <w:pPr>
              <w:pStyle w:val="Compact"/>
            </w:pPr>
            <w:r>
              <w:t xml:space="preserve">Positive</w:t>
            </w:r>
          </w:p>
        </w:tc>
      </w:tr>
      <w:tr>
        <w:tc>
          <w:tcPr/>
          <w:p>
            <w:pPr>
              <w:pStyle w:val="Compact"/>
            </w:pPr>
            <w:r>
              <w:t xml:space="preserve">Differentiation potential</w:t>
            </w:r>
          </w:p>
        </w:tc>
        <w:tc>
          <w:tcPr/>
          <w:p>
            <w:pPr>
              <w:pStyle w:val="Compact"/>
            </w:pPr>
            <w:r>
              <w:t xml:space="preserve">Tri-lineage assay</w:t>
            </w:r>
          </w:p>
        </w:tc>
        <w:tc>
          <w:tcPr/>
          <w:p>
            <w:pPr>
              <w:pStyle w:val="Compact"/>
            </w:pPr>
            <w:r>
              <w:t xml:space="preserve">Osteoblast, adipocyte, chondroblast confirmed</w:t>
            </w:r>
          </w:p>
        </w:tc>
      </w:tr>
      <w:tr>
        <w:tc>
          <w:tcPr/>
          <w:p>
            <w:pPr>
              <w:pStyle w:val="Compact"/>
            </w:pPr>
            <w:r>
              <w:t xml:space="preserve">Sterility</w:t>
            </w:r>
          </w:p>
        </w:tc>
        <w:tc>
          <w:tcPr/>
          <w:p>
            <w:pPr>
              <w:pStyle w:val="Compact"/>
            </w:pPr>
            <w:r>
              <w:t xml:space="preserve">USP &lt;71&gt;</w:t>
            </w:r>
          </w:p>
        </w:tc>
        <w:tc>
          <w:tcPr/>
          <w:p>
            <w:pPr>
              <w:pStyle w:val="Compact"/>
            </w:pPr>
            <w:r>
              <w:t xml:space="preserve">Negative</w:t>
            </w:r>
          </w:p>
        </w:tc>
      </w:tr>
      <w:tr>
        <w:tc>
          <w:tcPr/>
          <w:p>
            <w:pPr>
              <w:pStyle w:val="Compact"/>
            </w:pPr>
            <w:r>
              <w:t xml:space="preserve">Endotoxin</w:t>
            </w:r>
          </w:p>
        </w:tc>
        <w:tc>
          <w:tcPr/>
          <w:p>
            <w:pPr>
              <w:pStyle w:val="Compact"/>
            </w:pPr>
            <w:r>
              <w:t xml:space="preserve">LAL</w:t>
            </w:r>
          </w:p>
        </w:tc>
        <w:tc>
          <w:tcPr/>
          <w:p>
            <w:pPr>
              <w:pStyle w:val="Compact"/>
            </w:pPr>
            <w:r>
              <w:t xml:space="preserve">&lt; 4 EU / vial</w:t>
            </w:r>
          </w:p>
        </w:tc>
      </w:tr>
      <w:tr>
        <w:tc>
          <w:tcPr/>
          <w:p>
            <w:pPr>
              <w:pStyle w:val="Compact"/>
            </w:pPr>
            <w:r>
              <w:t xml:space="preserve">Mycoplasma</w:t>
            </w:r>
          </w:p>
        </w:tc>
        <w:tc>
          <w:tcPr/>
          <w:p>
            <w:pPr>
              <w:pStyle w:val="Compact"/>
            </w:pPr>
            <w:r>
              <w:rPr>
                <w:rStyle w:val="VerbatimChar"/>
              </w:rPr>
              <w:t xml:space="preserve">[method]</w:t>
            </w:r>
          </w:p>
        </w:tc>
        <w:tc>
          <w:tcPr/>
          <w:p>
            <w:pPr>
              <w:pStyle w:val="Compact"/>
            </w:pPr>
            <w:r>
              <w:t xml:space="preserve">Negative</w:t>
            </w:r>
          </w:p>
        </w:tc>
      </w:tr>
      <w:tr>
        <w:tc>
          <w:tcPr/>
          <w:p>
            <w:pPr>
              <w:pStyle w:val="Compact"/>
            </w:pPr>
            <w:r>
              <w:t xml:space="preserve">Adventitious agents</w:t>
            </w:r>
          </w:p>
        </w:tc>
        <w:tc>
          <w:tcPr/>
          <w:p>
            <w:pPr>
              <w:pStyle w:val="Compact"/>
            </w:pPr>
            <w:r>
              <w:rPr>
                <w:rStyle w:val="VerbatimChar"/>
              </w:rPr>
              <w:t xml:space="preserve">[method]</w:t>
            </w:r>
          </w:p>
        </w:tc>
        <w:tc>
          <w:tcPr/>
          <w:p>
            <w:pPr>
              <w:pStyle w:val="Compact"/>
            </w:pPr>
            <w:r>
              <w:t xml:space="preserve">Negative</w:t>
            </w:r>
          </w:p>
        </w:tc>
      </w:tr>
    </w:tbl>
    <w:p>
      <w:pPr>
        <w:pStyle w:val="BlockText"/>
      </w:pPr>
      <w:r>
        <w:t xml:space="preserve">Specifications for P-02, P-03, and each further Product are set out in the Product-specific specification sheet issued by MADE and are incorporated into this Schedule A by reference.</w:t>
      </w:r>
    </w:p>
    <w:bookmarkEnd w:id="61"/>
    <w:bookmarkStart w:id="62" w:name="a.5-storage-and-shelf-life"/>
    <w:p>
      <w:pPr>
        <w:pStyle w:val="Heading2"/>
      </w:pPr>
      <w:r>
        <w:t xml:space="preserve">A.5 Storage and Shelf Life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Product</w:t>
            </w:r>
          </w:p>
        </w:tc>
        <w:tc>
          <w:tcPr/>
          <w:p>
            <w:pPr>
              <w:pStyle w:val="Compact"/>
            </w:pPr>
            <w:r>
              <w:t xml:space="preserve">Storage condition</w:t>
            </w:r>
          </w:p>
        </w:tc>
        <w:tc>
          <w:tcPr/>
          <w:p>
            <w:pPr>
              <w:pStyle w:val="Compact"/>
            </w:pPr>
            <w:r>
              <w:t xml:space="preserve">Shelf life</w:t>
            </w:r>
          </w:p>
        </w:tc>
      </w:tr>
      <w:tr>
        <w:tc>
          <w:tcPr/>
          <w:p>
            <w:pPr>
              <w:pStyle w:val="Compact"/>
            </w:pPr>
            <w:r>
              <w:t xml:space="preserve">P-01, P-04, P-07</w:t>
            </w:r>
          </w:p>
        </w:tc>
        <w:tc>
          <w:tcPr/>
          <w:p>
            <w:pPr>
              <w:pStyle w:val="Compact"/>
            </w:pPr>
            <w:r>
              <w:t xml:space="preserve">Vapour-phase liquid nitrogen, −150 °C to −196 °C</w:t>
            </w:r>
          </w:p>
        </w:tc>
        <w:tc>
          <w:tcPr/>
          <w:p>
            <w:pPr>
              <w:pStyle w:val="Compact"/>
            </w:pPr>
            <w:r>
              <w:rPr>
                <w:rStyle w:val="VerbatimChar"/>
              </w:rPr>
              <w:t xml:space="preserve">[__]</w:t>
            </w:r>
            <w:r>
              <w:t xml:space="preserve"> </w:t>
            </w:r>
            <w:r>
              <w:t xml:space="preserve">months</w:t>
            </w:r>
          </w:p>
        </w:tc>
      </w:tr>
      <w:tr>
        <w:tc>
          <w:tcPr/>
          <w:p>
            <w:pPr>
              <w:pStyle w:val="Compact"/>
            </w:pPr>
            <w:r>
              <w:t xml:space="preserve">P-02, P-03, P-05, P-06, P-08</w:t>
            </w:r>
          </w:p>
        </w:tc>
        <w:tc>
          <w:tcPr/>
          <w:p>
            <w:pPr>
              <w:pStyle w:val="Compact"/>
            </w:pPr>
            <w:r>
              <w:rPr>
                <w:rStyle w:val="VerbatimChar"/>
              </w:rPr>
              <w:t xml:space="preserve">[−80 °C ± 10 °C]</w:t>
            </w:r>
          </w:p>
        </w:tc>
        <w:tc>
          <w:tcPr/>
          <w:p>
            <w:pPr>
              <w:pStyle w:val="Compact"/>
            </w:pPr>
            <w:r>
              <w:rPr>
                <w:rStyle w:val="VerbatimChar"/>
              </w:rPr>
              <w:t xml:space="preserve">[__]</w:t>
            </w:r>
            <w:r>
              <w:t xml:space="preserve"> </w:t>
            </w:r>
            <w:r>
              <w:t xml:space="preserve">months</w:t>
            </w:r>
          </w:p>
        </w:tc>
      </w:tr>
      <w:tr>
        <w:tc>
          <w:tcPr/>
          <w:p>
            <w:pPr>
              <w:pStyle w:val="Compact"/>
            </w:pPr>
            <w:r>
              <w:t xml:space="preserve">P-09, P-10 (lyophilised)</w:t>
            </w:r>
          </w:p>
        </w:tc>
        <w:tc>
          <w:tcPr/>
          <w:p>
            <w:pPr>
              <w:pStyle w:val="Compact"/>
            </w:pPr>
            <w:r>
              <w:rPr>
                <w:rStyle w:val="VerbatimChar"/>
              </w:rPr>
              <w:t xml:space="preserve">[2–8 °C]</w:t>
            </w:r>
          </w:p>
        </w:tc>
        <w:tc>
          <w:tcPr/>
          <w:p>
            <w:pPr>
              <w:pStyle w:val="Compact"/>
            </w:pPr>
            <w:r>
              <w:rPr>
                <w:rStyle w:val="VerbatimChar"/>
              </w:rPr>
              <w:t xml:space="preserve">[__]</w:t>
            </w:r>
            <w:r>
              <w:t xml:space="preserve"> </w:t>
            </w:r>
            <w:r>
              <w:t xml:space="preserve">months</w:t>
            </w:r>
          </w:p>
        </w:tc>
      </w:tr>
    </w:tbl>
    <w:bookmarkEnd w:id="62"/>
    <w:bookmarkStart w:id="63" w:name="a.6-ruo-legend"/>
    <w:p>
      <w:pPr>
        <w:pStyle w:val="Heading2"/>
      </w:pPr>
      <w:r>
        <w:t xml:space="preserve">A.6 RUO Legend</w:t>
      </w:r>
    </w:p>
    <w:p>
      <w:pPr>
        <w:pStyle w:val="FirstParagraph"/>
      </w:pPr>
      <w:r>
        <w:t xml:space="preserve">Every Product label, carton, insert, and Certificate of Analysis bears:</w:t>
      </w:r>
    </w:p>
    <w:p>
      <w:pPr>
        <w:pStyle w:val="BlockText"/>
      </w:pPr>
      <w:r>
        <w:rPr>
          <w:b/>
          <w:bCs/>
        </w:rPr>
        <w:t xml:space="preserve">RESEARCH USE ONLY — NOT FOR USE IN HUMANS OR ANIMALS</w:t>
      </w:r>
    </w:p>
    <w:p>
      <w:r>
        <w:pict>
          <v:rect style="width:0;height:1.5pt" o:hralign="center" o:hrstd="t" o:hr="t"/>
        </w:pict>
      </w:r>
    </w:p>
    <w:bookmarkEnd w:id="63"/>
    <w:bookmarkEnd w:id="64"/>
    <w:bookmarkStart w:id="70" w:name="X7e5c4bee13a77a5e2ba571ff26ebf92a115889e"/>
    <w:p>
      <w:pPr>
        <w:pStyle w:val="Heading1"/>
      </w:pPr>
      <w:r>
        <w:t xml:space="preserve">SCHEDULE B — TERRITORY, EXCLUSIVITY AND NOTICES</w:t>
      </w:r>
    </w:p>
    <w:bookmarkStart w:id="65" w:name="b.1-territory"/>
    <w:p>
      <w:pPr>
        <w:pStyle w:val="Heading2"/>
      </w:pPr>
      <w:r>
        <w:t xml:space="preserve">B.1 Territory</w:t>
      </w:r>
    </w:p>
    <w:p>
      <w:pPr>
        <w:pStyle w:val="FirstParagraph"/>
      </w:pPr>
      <w:r>
        <w:rPr>
          <w:rStyle w:val="VerbatimChar"/>
        </w:rPr>
        <w:t xml:space="preserve">[Specify countries. Where a country is included, state whether the whole country or a defined region.]</w:t>
      </w:r>
    </w:p>
    <w:bookmarkEnd w:id="65"/>
    <w:bookmarkStart w:id="66" w:name="b.2-nature-of-appointment"/>
    <w:p>
      <w:pPr>
        <w:pStyle w:val="Heading2"/>
      </w:pPr>
      <w:r>
        <w:t xml:space="preserve">B.2 Nature of Appointment</w:t>
      </w:r>
    </w:p>
    <w:p>
      <w:pPr>
        <w:pStyle w:val="Compact"/>
        <w:numPr>
          <w:ilvl w:val="0"/>
          <w:numId w:val="1019"/>
        </w:numPr>
      </w:pPr>
      <w:r>
        <w:t xml:space="preserve">Appointment:</w:t>
      </w:r>
      <w:r>
        <w:t xml:space="preserve"> </w:t>
      </w:r>
      <w:r>
        <w:rPr>
          <w:rStyle w:val="VerbatimChar"/>
        </w:rPr>
        <w:t xml:space="preserve">[EXCLUSIVE / NON-EXCLUSIVE / SOLE]</w:t>
      </w:r>
    </w:p>
    <w:p>
      <w:pPr>
        <w:pStyle w:val="Compact"/>
        <w:numPr>
          <w:ilvl w:val="0"/>
          <w:numId w:val="1019"/>
        </w:numPr>
      </w:pPr>
      <w:r>
        <w:t xml:space="preserve">Products in scope:</w:t>
      </w:r>
      <w:r>
        <w:t xml:space="preserve"> </w:t>
      </w:r>
      <w:r>
        <w:rPr>
          <w:rStyle w:val="VerbatimChar"/>
        </w:rPr>
        <w:t xml:space="preserve">[P-01, P-02, P-03 …]</w:t>
      </w:r>
    </w:p>
    <w:p>
      <w:pPr>
        <w:pStyle w:val="Compact"/>
        <w:numPr>
          <w:ilvl w:val="0"/>
          <w:numId w:val="1019"/>
        </w:numPr>
      </w:pPr>
      <w:r>
        <w:t xml:space="preserve">Field: non-clinical laboratory research, preclinical R&amp;D, process and analytical development.</w:t>
      </w:r>
    </w:p>
    <w:bookmarkEnd w:id="66"/>
    <w:bookmarkStart w:id="67" w:name="b.3-reserved-accounts-and-house-accounts"/>
    <w:p>
      <w:pPr>
        <w:pStyle w:val="Heading2"/>
      </w:pPr>
      <w:r>
        <w:t xml:space="preserve">B.3 Reserved Accounts and House Accounts</w:t>
      </w:r>
    </w:p>
    <w:p>
      <w:pPr>
        <w:pStyle w:val="FirstParagraph"/>
      </w:pPr>
      <w:r>
        <w:t xml:space="preserve">MADE reserves the following, in respect of which Distributor earns no margin, commission, or credit toward any Minimum Purchase Commitment: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Country</w:t>
            </w:r>
          </w:p>
        </w:tc>
        <w:tc>
          <w:tcPr/>
          <w:p>
            <w:pPr>
              <w:pStyle w:val="Compact"/>
            </w:pPr>
            <w:r>
              <w:t xml:space="preserve">Basis of reservation</w:t>
            </w:r>
          </w:p>
        </w:tc>
      </w:tr>
      <w:tr>
        <w:tc>
          <w:tcPr/>
          <w:p>
            <w:pPr>
              <w:pStyle w:val="Compact"/>
            </w:pPr>
            <w:r>
              <w:rPr>
                <w:rStyle w:val="VerbatimChar"/>
              </w:rPr>
              <w:t xml:space="preserve">[__]</w:t>
            </w:r>
          </w:p>
        </w:tc>
        <w:tc>
          <w:tcPr/>
          <w:p>
            <w:pPr>
              <w:pStyle w:val="Compact"/>
            </w:pPr>
            <w:r>
              <w:rPr>
                <w:rStyle w:val="VerbatimChar"/>
              </w:rPr>
              <w:t xml:space="preserve">[__]</w:t>
            </w:r>
          </w:p>
        </w:tc>
        <w:tc>
          <w:tcPr/>
          <w:p>
            <w:pPr>
              <w:pStyle w:val="Compact"/>
            </w:pPr>
            <w:r>
              <w:t xml:space="preserve">House account / pre-existing / CDMO client</w:t>
            </w:r>
          </w:p>
        </w:tc>
      </w:tr>
    </w:tbl>
    <w:bookmarkEnd w:id="67"/>
    <w:bookmarkStart w:id="68" w:name="X12ffc772ef42aa7213e6a46322160fbedd065ca"/>
    <w:p>
      <w:pPr>
        <w:pStyle w:val="Heading2"/>
      </w:pPr>
      <w:r>
        <w:t xml:space="preserve">B.4 Competing Products disclosed under Section 3.3</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Product</w:t>
            </w:r>
          </w:p>
        </w:tc>
        <w:tc>
          <w:tcPr/>
          <w:p>
            <w:pPr>
              <w:pStyle w:val="Compact"/>
            </w:pPr>
            <w:r>
              <w:t xml:space="preserve">Supplier</w:t>
            </w:r>
          </w:p>
        </w:tc>
        <w:tc>
          <w:tcPr/>
          <w:p>
            <w:pPr>
              <w:pStyle w:val="Compact"/>
            </w:pPr>
            <w:r>
              <w:t xml:space="preserve">Status (retain / divest by</w:t>
            </w:r>
            <w:r>
              <w:t xml:space="preserve"> </w:t>
            </w:r>
            <w:r>
              <w:rPr>
                <w:rStyle w:val="VerbatimChar"/>
              </w:rPr>
              <w:t xml:space="preserve">[date]</w:t>
            </w:r>
            <w:r>
              <w:t xml:space="preserve">)</w:t>
            </w:r>
          </w:p>
        </w:tc>
      </w:tr>
      <w:tr>
        <w:tc>
          <w:tcPr/>
          <w:p>
            <w:pPr>
              <w:pStyle w:val="Compact"/>
            </w:pPr>
            <w:r>
              <w:rPr>
                <w:rStyle w:val="VerbatimChar"/>
              </w:rPr>
              <w:t xml:space="preserve">[__]</w:t>
            </w:r>
          </w:p>
        </w:tc>
        <w:tc>
          <w:tcPr/>
          <w:p>
            <w:pPr>
              <w:pStyle w:val="Compact"/>
            </w:pPr>
            <w:r>
              <w:rPr>
                <w:rStyle w:val="VerbatimChar"/>
              </w:rPr>
              <w:t xml:space="preserve">[__]</w:t>
            </w:r>
          </w:p>
        </w:tc>
        <w:tc>
          <w:tcPr/>
          <w:p>
            <w:pPr>
              <w:pStyle w:val="Compact"/>
            </w:pPr>
            <w:r>
              <w:rPr>
                <w:rStyle w:val="VerbatimChar"/>
              </w:rPr>
              <w:t xml:space="preserve">[__]</w:t>
            </w:r>
          </w:p>
        </w:tc>
      </w:tr>
    </w:tbl>
    <w:bookmarkEnd w:id="68"/>
    <w:bookmarkStart w:id="69" w:name="b.5-notices-section-41"/>
    <w:p>
      <w:pPr>
        <w:pStyle w:val="Heading2"/>
      </w:pPr>
      <w:r>
        <w:t xml:space="preserve">B.5 Notices (Section 41)</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MADE</w:t>
            </w:r>
          </w:p>
        </w:tc>
        <w:tc>
          <w:tcPr/>
          <w:p>
            <w:pPr>
              <w:pStyle w:val="Compact"/>
            </w:pPr>
            <w:r>
              <w:t xml:space="preserve">Distributor</w:t>
            </w:r>
          </w:p>
        </w:tc>
      </w:tr>
      <w:tr>
        <w:tc>
          <w:tcPr/>
          <w:p>
            <w:pPr>
              <w:pStyle w:val="Compact"/>
            </w:pPr>
            <w:r>
              <w:t xml:space="preserve">Attention</w:t>
            </w:r>
          </w:p>
        </w:tc>
        <w:tc>
          <w:tcPr/>
          <w:p>
            <w:pPr>
              <w:pStyle w:val="Compact"/>
            </w:pPr>
            <w:r>
              <w:rPr>
                <w:rStyle w:val="VerbatimChar"/>
              </w:rPr>
              <w:t xml:space="preserve">[Legal / VP Commercial]</w:t>
            </w:r>
          </w:p>
        </w:tc>
        <w:tc>
          <w:tcPr/>
          <w:p>
            <w:pPr>
              <w:pStyle w:val="Compact"/>
            </w:pPr>
            <w:r>
              <w:rPr>
                <w:rStyle w:val="VerbatimChar"/>
              </w:rPr>
              <w:t xml:space="preserve">[__]</w:t>
            </w:r>
          </w:p>
        </w:tc>
      </w:tr>
      <w:tr>
        <w:tc>
          <w:tcPr/>
          <w:p>
            <w:pPr>
              <w:pStyle w:val="Compact"/>
            </w:pPr>
            <w:r>
              <w:t xml:space="preserve">Address</w:t>
            </w:r>
          </w:p>
        </w:tc>
        <w:tc>
          <w:tcPr/>
          <w:p>
            <w:pPr>
              <w:pStyle w:val="Compact"/>
            </w:pPr>
            <w:r>
              <w:t xml:space="preserve">201 College Road East, Princeton, NJ 08540, USA</w:t>
            </w:r>
          </w:p>
        </w:tc>
        <w:tc>
          <w:tcPr/>
          <w:p>
            <w:pPr>
              <w:pStyle w:val="Compact"/>
            </w:pPr>
            <w:r>
              <w:rPr>
                <w:rStyle w:val="VerbatimChar"/>
              </w:rPr>
              <w:t xml:space="preserve">[__]</w:t>
            </w:r>
          </w:p>
        </w:tc>
      </w:tr>
      <w:tr>
        <w:tc>
          <w:tcPr/>
          <w:p>
            <w:pPr>
              <w:pStyle w:val="Compact"/>
            </w:pPr>
            <w:r>
              <w:t xml:space="preserve">Email</w:t>
            </w:r>
          </w:p>
        </w:tc>
        <w:tc>
          <w:tcPr/>
          <w:p>
            <w:pPr>
              <w:pStyle w:val="Compact"/>
            </w:pPr>
            <w:r>
              <w:rPr>
                <w:rStyle w:val="VerbatimChar"/>
              </w:rPr>
              <w:t xml:space="preserve">[__]</w:t>
            </w:r>
          </w:p>
        </w:tc>
        <w:tc>
          <w:tcPr/>
          <w:p>
            <w:pPr>
              <w:pStyle w:val="Compact"/>
            </w:pPr>
            <w:r>
              <w:rPr>
                <w:rStyle w:val="VerbatimChar"/>
              </w:rPr>
              <w:t xml:space="preserve">[__]</w:t>
            </w:r>
          </w:p>
        </w:tc>
      </w:tr>
      <w:tr>
        <w:tc>
          <w:tcPr/>
          <w:p>
            <w:pPr>
              <w:pStyle w:val="Compact"/>
            </w:pPr>
            <w:r>
              <w:t xml:space="preserve">Copy to</w:t>
            </w:r>
          </w:p>
        </w:tc>
        <w:tc>
          <w:tcPr/>
          <w:p>
            <w:pPr>
              <w:pStyle w:val="Compact"/>
            </w:pPr>
            <w:r>
              <w:rPr>
                <w:rStyle w:val="VerbatimChar"/>
              </w:rPr>
              <w:t xml:space="preserve">[General Counsel]</w:t>
            </w:r>
          </w:p>
        </w:tc>
        <w:tc>
          <w:tcPr/>
          <w:p>
            <w:pPr>
              <w:pStyle w:val="Compact"/>
            </w:pPr>
            <w:r>
              <w:rPr>
                <w:rStyle w:val="VerbatimChar"/>
              </w:rPr>
              <w:t xml:space="preserve">[__]</w:t>
            </w:r>
          </w:p>
        </w:tc>
      </w:tr>
    </w:tbl>
    <w:p>
      <w:r>
        <w:pict>
          <v:rect style="width:0;height:1.5pt" o:hralign="center" o:hrstd="t" o:hr="t"/>
        </w:pict>
      </w:r>
    </w:p>
    <w:bookmarkEnd w:id="69"/>
    <w:bookmarkEnd w:id="70"/>
    <w:bookmarkStart w:id="75" w:name="schedule-c-prices-and-payment-terms"/>
    <w:p>
      <w:pPr>
        <w:pStyle w:val="Heading1"/>
      </w:pPr>
      <w:r>
        <w:t xml:space="preserve">SCHEDULE C — PRICES AND PAYMENT TERMS</w:t>
      </w:r>
    </w:p>
    <w:bookmarkStart w:id="71" w:name="c.1-price-list-effective-date"/>
    <w:p>
      <w:pPr>
        <w:pStyle w:val="Heading2"/>
      </w:pPr>
      <w:r>
        <w:t xml:space="preserve">C.1 Price List (effective</w:t>
      </w:r>
      <w:r>
        <w:t xml:space="preserve"> </w:t>
      </w:r>
      <w:r>
        <w:rPr>
          <w:rStyle w:val="VerbatimChar"/>
        </w:rPr>
        <w:t xml:space="preserve">[date]</w:t>
      </w:r>
      <w:r>
        <w:t xml:space="preserv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Ref</w:t>
            </w:r>
          </w:p>
        </w:tc>
        <w:tc>
          <w:tcPr/>
          <w:p>
            <w:pPr>
              <w:pStyle w:val="Compact"/>
            </w:pPr>
            <w:r>
              <w:t xml:space="preserve">Product</w:t>
            </w:r>
          </w:p>
        </w:tc>
        <w:tc>
          <w:tcPr/>
          <w:p>
            <w:pPr>
              <w:pStyle w:val="Compact"/>
            </w:pPr>
            <w:r>
              <w:t xml:space="preserve">Presentation</w:t>
            </w:r>
          </w:p>
        </w:tc>
        <w:tc>
          <w:tcPr/>
          <w:p>
            <w:pPr>
              <w:pStyle w:val="Compact"/>
            </w:pPr>
            <w:r>
              <w:t xml:space="preserve">Distributor price (US$)</w:t>
            </w:r>
          </w:p>
        </w:tc>
        <w:tc>
          <w:tcPr/>
          <w:p>
            <w:pPr>
              <w:pStyle w:val="Compact"/>
            </w:pPr>
            <w:r>
              <w:t xml:space="preserve">Suggested resale price (US$)</w:t>
            </w:r>
          </w:p>
        </w:tc>
      </w:tr>
      <w:tr>
        <w:tc>
          <w:tcPr/>
          <w:p>
            <w:pPr>
              <w:pStyle w:val="Compact"/>
            </w:pPr>
            <w:r>
              <w:t xml:space="preserve">P-01</w:t>
            </w:r>
          </w:p>
        </w:tc>
        <w:tc>
          <w:tcPr/>
          <w:p>
            <w:pPr>
              <w:pStyle w:val="Compact"/>
            </w:pPr>
            <w:r>
              <w:t xml:space="preserve">WJ-MSC (2D)</w:t>
            </w:r>
          </w:p>
        </w:tc>
        <w:tc>
          <w:tcPr/>
          <w:p>
            <w:pPr>
              <w:pStyle w:val="Compact"/>
            </w:pPr>
            <w:r>
              <w:rPr>
                <w:rStyle w:val="VerbatimChar"/>
              </w:rPr>
              <w:t xml:space="preserve">[__]</w:t>
            </w:r>
          </w:p>
        </w:tc>
        <w:tc>
          <w:tcPr/>
          <w:p>
            <w:pPr>
              <w:pStyle w:val="Compact"/>
            </w:pPr>
            <w:r>
              <w:rPr>
                <w:rStyle w:val="VerbatimChar"/>
              </w:rPr>
              <w:t xml:space="preserve">[__]</w:t>
            </w:r>
          </w:p>
        </w:tc>
        <w:tc>
          <w:tcPr/>
          <w:p>
            <w:pPr>
              <w:pStyle w:val="Compact"/>
            </w:pPr>
            <w:r>
              <w:rPr>
                <w:rStyle w:val="VerbatimChar"/>
              </w:rPr>
              <w:t xml:space="preserve">[__]</w:t>
            </w:r>
            <w:r>
              <w:t xml:space="preserve"> </w:t>
            </w:r>
            <w:r>
              <w:rPr>
                <w:i/>
                <w:iCs/>
              </w:rPr>
              <w:t xml:space="preserve">(suggested only — Section 8)</w:t>
            </w:r>
          </w:p>
        </w:tc>
      </w:tr>
      <w:tr>
        <w:tc>
          <w:tcPr/>
          <w:p>
            <w:pPr>
              <w:pStyle w:val="Compact"/>
            </w:pPr>
            <w:r>
              <w:t xml:space="preserve">P-02</w:t>
            </w:r>
          </w:p>
        </w:tc>
        <w:tc>
          <w:tcPr/>
          <w:p>
            <w:pPr>
              <w:pStyle w:val="Compact"/>
            </w:pPr>
            <w:r>
              <w:t xml:space="preserve">WJ-MSC Secretome</w:t>
            </w:r>
          </w:p>
        </w:tc>
        <w:tc>
          <w:tcPr/>
          <w:p>
            <w:pPr>
              <w:pStyle w:val="Compact"/>
            </w:pPr>
            <w:r>
              <w:rPr>
                <w:rStyle w:val="VerbatimChar"/>
              </w:rPr>
              <w:t xml:space="preserve">[__]</w:t>
            </w:r>
          </w:p>
        </w:tc>
        <w:tc>
          <w:tcPr/>
          <w:p>
            <w:pPr>
              <w:pStyle w:val="Compact"/>
            </w:pPr>
            <w:r>
              <w:rPr>
                <w:rStyle w:val="VerbatimChar"/>
              </w:rPr>
              <w:t xml:space="preserve">[__]</w:t>
            </w:r>
          </w:p>
        </w:tc>
        <w:tc>
          <w:tcPr/>
          <w:p>
            <w:pPr>
              <w:pStyle w:val="Compact"/>
            </w:pPr>
            <w:r>
              <w:rPr>
                <w:rStyle w:val="VerbatimChar"/>
              </w:rPr>
              <w:t xml:space="preserve">[__]</w:t>
            </w:r>
          </w:p>
        </w:tc>
      </w:tr>
      <w:tr>
        <w:tc>
          <w:tcPr/>
          <w:p>
            <w:pPr>
              <w:pStyle w:val="Compact"/>
            </w:pPr>
            <w:r>
              <w:t xml:space="preserve">P-03</w:t>
            </w:r>
          </w:p>
        </w:tc>
        <w:tc>
          <w:tcPr/>
          <w:p>
            <w:pPr>
              <w:pStyle w:val="Compact"/>
            </w:pPr>
            <w:r>
              <w:t xml:space="preserve">WJ-MSC Exosome</w:t>
            </w:r>
          </w:p>
        </w:tc>
        <w:tc>
          <w:tcPr/>
          <w:p>
            <w:pPr>
              <w:pStyle w:val="Compact"/>
            </w:pPr>
            <w:r>
              <w:rPr>
                <w:rStyle w:val="VerbatimChar"/>
              </w:rPr>
              <w:t xml:space="preserve">[__]</w:t>
            </w:r>
          </w:p>
        </w:tc>
        <w:tc>
          <w:tcPr/>
          <w:p>
            <w:pPr>
              <w:pStyle w:val="Compact"/>
            </w:pPr>
            <w:r>
              <w:rPr>
                <w:rStyle w:val="VerbatimChar"/>
              </w:rPr>
              <w:t xml:space="preserve">[__]</w:t>
            </w:r>
          </w:p>
        </w:tc>
        <w:tc>
          <w:tcPr/>
          <w:p>
            <w:pPr>
              <w:pStyle w:val="Compact"/>
            </w:pPr>
            <w:r>
              <w:rPr>
                <w:rStyle w:val="VerbatimChar"/>
              </w:rPr>
              <w:t xml:space="preserve">[__]</w:t>
            </w:r>
          </w:p>
        </w:tc>
      </w:tr>
    </w:tbl>
    <w:p>
      <w:pPr>
        <w:pStyle w:val="BlockText"/>
      </w:pPr>
      <w:r>
        <w:rPr>
          <w:b/>
          <w:bCs/>
        </w:rPr>
        <w:t xml:space="preserve">Suggested resale prices are recommendations only. Distributor is entirely free to set its own resale prices (Section 8.1).</w:t>
      </w:r>
    </w:p>
    <w:bookmarkEnd w:id="71"/>
    <w:bookmarkStart w:id="72" w:name="c.2-basis"/>
    <w:p>
      <w:pPr>
        <w:pStyle w:val="Heading2"/>
      </w:pPr>
      <w:r>
        <w:t xml:space="preserve">C.2 Basis</w:t>
      </w:r>
    </w:p>
    <w:p>
      <w:pPr>
        <w:pStyle w:val="Compact"/>
        <w:numPr>
          <w:ilvl w:val="0"/>
          <w:numId w:val="1020"/>
        </w:numPr>
      </w:pPr>
      <w:r>
        <w:t xml:space="preserve">Currency:</w:t>
      </w:r>
      <w:r>
        <w:t xml:space="preserve"> </w:t>
      </w:r>
      <w:r>
        <w:rPr>
          <w:rStyle w:val="VerbatimChar"/>
        </w:rPr>
        <w:t xml:space="preserve">[US Dollars]</w:t>
      </w:r>
    </w:p>
    <w:p>
      <w:pPr>
        <w:pStyle w:val="Compact"/>
        <w:numPr>
          <w:ilvl w:val="0"/>
          <w:numId w:val="1020"/>
        </w:numPr>
      </w:pPr>
      <w:r>
        <w:t xml:space="preserve">Delivery term:</w:t>
      </w:r>
      <w:r>
        <w:t xml:space="preserve"> </w:t>
      </w:r>
      <w:r>
        <w:rPr>
          <w:b/>
          <w:bCs/>
        </w:rPr>
        <w:t xml:space="preserve">FCA MADE facility, Princeton, NJ, Incoterms® 2020</w:t>
      </w:r>
    </w:p>
    <w:p>
      <w:pPr>
        <w:pStyle w:val="Compact"/>
        <w:numPr>
          <w:ilvl w:val="0"/>
          <w:numId w:val="1020"/>
        </w:numPr>
      </w:pPr>
      <w:r>
        <w:t xml:space="preserve">Prices exclude freight, insurance, dry ice, shipper charges, duties, and Taxes.</w:t>
      </w:r>
    </w:p>
    <w:p>
      <w:pPr>
        <w:pStyle w:val="Compact"/>
        <w:numPr>
          <w:ilvl w:val="0"/>
          <w:numId w:val="1020"/>
        </w:numPr>
      </w:pPr>
      <w:r>
        <w:t xml:space="preserve">Price change notice:</w:t>
      </w:r>
      <w:r>
        <w:t xml:space="preserve"> </w:t>
      </w:r>
      <w:r>
        <w:rPr>
          <w:b/>
          <w:bCs/>
        </w:rPr>
        <w:t xml:space="preserve">60 days</w:t>
      </w:r>
      <w:r>
        <w:t xml:space="preserve"> </w:t>
      </w:r>
      <w:r>
        <w:t xml:space="preserve">(Section 7.3).</w:t>
      </w:r>
    </w:p>
    <w:bookmarkEnd w:id="72"/>
    <w:bookmarkStart w:id="73" w:name="c.3-payment"/>
    <w:p>
      <w:pPr>
        <w:pStyle w:val="Heading2"/>
      </w:pPr>
      <w:r>
        <w:t xml:space="preserve">C.3 Payment</w:t>
      </w:r>
    </w:p>
    <w:p>
      <w:pPr>
        <w:pStyle w:val="Compact"/>
        <w:numPr>
          <w:ilvl w:val="0"/>
          <w:numId w:val="1021"/>
        </w:numPr>
      </w:pPr>
      <w:r>
        <w:t xml:space="preserve">Invoicing:</w:t>
      </w:r>
      <w:r>
        <w:t xml:space="preserve"> </w:t>
      </w:r>
      <w:r>
        <w:rPr>
          <w:b/>
          <w:bCs/>
        </w:rPr>
        <w:t xml:space="preserve">monthly in arrears</w:t>
      </w:r>
    </w:p>
    <w:p>
      <w:pPr>
        <w:pStyle w:val="Compact"/>
        <w:numPr>
          <w:ilvl w:val="0"/>
          <w:numId w:val="1021"/>
        </w:numPr>
      </w:pPr>
      <w:r>
        <w:t xml:space="preserve">Terms:</w:t>
      </w:r>
      <w:r>
        <w:t xml:space="preserve"> </w:t>
      </w:r>
      <w:r>
        <w:rPr>
          <w:b/>
          <w:bCs/>
        </w:rPr>
        <w:t xml:space="preserve">Net 30</w:t>
      </w:r>
      <w:r>
        <w:t xml:space="preserve"> </w:t>
      </w:r>
      <w:r>
        <w:t xml:space="preserve">from invoice date</w:t>
      </w:r>
    </w:p>
    <w:p>
      <w:pPr>
        <w:pStyle w:val="Compact"/>
        <w:numPr>
          <w:ilvl w:val="0"/>
          <w:numId w:val="1021"/>
        </w:numPr>
      </w:pPr>
      <w:r>
        <w:t xml:space="preserve">Methods:</w:t>
      </w:r>
      <w:r>
        <w:t xml:space="preserve"> </w:t>
      </w:r>
      <w:r>
        <w:rPr>
          <w:b/>
          <w:bCs/>
        </w:rPr>
        <w:t xml:space="preserve">check; wire transfer</w:t>
      </w:r>
      <w:r>
        <w:t xml:space="preserve"> </w:t>
      </w:r>
      <w:r>
        <w:t xml:space="preserve">to MADE’s designated account</w:t>
      </w:r>
    </w:p>
    <w:p>
      <w:pPr>
        <w:pStyle w:val="Compact"/>
        <w:numPr>
          <w:ilvl w:val="0"/>
          <w:numId w:val="1021"/>
        </w:numPr>
      </w:pPr>
      <w:r>
        <w:t xml:space="preserve">Late interest:</w:t>
      </w:r>
      <w:r>
        <w:t xml:space="preserve"> </w:t>
      </w:r>
      <w:r>
        <w:rPr>
          <w:b/>
          <w:bCs/>
        </w:rPr>
        <w:t xml:space="preserve">1.5% per month</w:t>
      </w:r>
      <w:r>
        <w:t xml:space="preserve"> </w:t>
      </w:r>
      <w:r>
        <w:t xml:space="preserve">or the maximum lawful rate, whichever is lower</w:t>
      </w:r>
    </w:p>
    <w:p>
      <w:pPr>
        <w:pStyle w:val="Compact"/>
        <w:numPr>
          <w:ilvl w:val="0"/>
          <w:numId w:val="1021"/>
        </w:numPr>
      </w:pPr>
      <w:r>
        <w:t xml:space="preserve">Credit limit: US$</w:t>
      </w:r>
      <w:r>
        <w:rPr>
          <w:rStyle w:val="VerbatimChar"/>
        </w:rPr>
        <w:t xml:space="preserve">[__]</w:t>
      </w:r>
    </w:p>
    <w:p>
      <w:pPr>
        <w:pStyle w:val="Compact"/>
        <w:numPr>
          <w:ilvl w:val="0"/>
          <w:numId w:val="1021"/>
        </w:numPr>
      </w:pPr>
      <w:r>
        <w:rPr>
          <w:rStyle w:val="VerbatimChar"/>
        </w:rPr>
        <w:t xml:space="preserve">[New distributors: first [__] orders payable in advance or against an irrevocable letter of credit.]</w:t>
      </w:r>
    </w:p>
    <w:bookmarkEnd w:id="73"/>
    <w:bookmarkStart w:id="74" w:name="Xfc030c05fd01d79ad1dd004ee7b3275ba81dbae"/>
    <w:p>
      <w:pPr>
        <w:pStyle w:val="Heading2"/>
      </w:pPr>
      <w:r>
        <w:t xml:space="preserve">C.4 Pricing Rationale Record (internal — do not disclose to Distributor)</w:t>
      </w:r>
    </w:p>
    <w:p>
      <w:pPr>
        <w:pStyle w:val="FirstParagraph"/>
      </w:pPr>
      <w:r>
        <w:t xml:space="preserve">For each price list and each account-by-account price agreed under Section 7.4, MADE’s commercial lead must record, at the time of agreement: the volume, cost, or functional basis for the price, and/or the specific competing offer being met, together with the date and source. Retain for six (6) years.</w:t>
      </w:r>
    </w:p>
    <w:p>
      <w:r>
        <w:pict>
          <v:rect style="width:0;height:1.5pt" o:hralign="center" o:hrstd="t" o:hr="t"/>
        </w:pict>
      </w:r>
    </w:p>
    <w:bookmarkEnd w:id="74"/>
    <w:bookmarkEnd w:id="75"/>
    <w:bookmarkStart w:id="80" w:name="X01ede38f928d90e7bb3000dbad6b711332995bb"/>
    <w:p>
      <w:pPr>
        <w:pStyle w:val="Heading1"/>
      </w:pPr>
      <w:r>
        <w:t xml:space="preserve">SCHEDULE D — MINIMUM PURCHASE COMMITMENT AND VOLUME INCENTIVE</w:t>
      </w:r>
    </w:p>
    <w:bookmarkStart w:id="76" w:name="d.1-measurement-period"/>
    <w:p>
      <w:pPr>
        <w:pStyle w:val="Heading2"/>
      </w:pPr>
      <w:r>
        <w:t xml:space="preserve">D.1 Measurement Period</w:t>
      </w:r>
    </w:p>
    <w:p>
      <w:pPr>
        <w:pStyle w:val="FirstParagraph"/>
      </w:pPr>
      <w:r>
        <w:rPr>
          <w:rStyle w:val="VerbatimChar"/>
        </w:rPr>
        <w:t xml:space="preserve">[Calendar year / rolling 12 months from the Effective Date]</w:t>
      </w:r>
    </w:p>
    <w:bookmarkEnd w:id="76"/>
    <w:bookmarkStart w:id="77" w:name="X278246b32ce34da948eb6b7ee53a66bc577d738"/>
    <w:p>
      <w:pPr>
        <w:pStyle w:val="Heading2"/>
      </w:pPr>
      <w:r>
        <w:t xml:space="preserve">D.2 Minimum Purchase Commitment (Section 4)</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Measurement Period</w:t>
            </w:r>
          </w:p>
        </w:tc>
        <w:tc>
          <w:tcPr/>
          <w:p>
            <w:pPr>
              <w:pStyle w:val="Compact"/>
            </w:pPr>
            <w:r>
              <w:t xml:space="preserve">Minimum units</w:t>
            </w:r>
          </w:p>
        </w:tc>
        <w:tc>
          <w:tcPr/>
          <w:p>
            <w:pPr>
              <w:pStyle w:val="Compact"/>
            </w:pPr>
            <w:r>
              <w:t xml:space="preserve">Minimum value (US$)</w:t>
            </w:r>
          </w:p>
        </w:tc>
      </w:tr>
      <w:tr>
        <w:tc>
          <w:tcPr/>
          <w:p>
            <w:pPr>
              <w:pStyle w:val="Compact"/>
            </w:pPr>
            <w:r>
              <w:t xml:space="preserve">Year 1</w:t>
            </w:r>
          </w:p>
        </w:tc>
        <w:tc>
          <w:tcPr/>
          <w:p>
            <w:pPr>
              <w:pStyle w:val="Compact"/>
            </w:pPr>
            <w:r>
              <w:rPr>
                <w:rStyle w:val="VerbatimChar"/>
              </w:rPr>
              <w:t xml:space="preserve">[__]</w:t>
            </w:r>
          </w:p>
        </w:tc>
        <w:tc>
          <w:tcPr/>
          <w:p>
            <w:pPr>
              <w:pStyle w:val="Compact"/>
            </w:pPr>
            <w:r>
              <w:rPr>
                <w:rStyle w:val="VerbatimChar"/>
              </w:rPr>
              <w:t xml:space="preserve">[__]</w:t>
            </w:r>
          </w:p>
        </w:tc>
      </w:tr>
      <w:tr>
        <w:tc>
          <w:tcPr/>
          <w:p>
            <w:pPr>
              <w:pStyle w:val="Compact"/>
            </w:pPr>
            <w:r>
              <w:t xml:space="preserve">Year 2</w:t>
            </w:r>
          </w:p>
        </w:tc>
        <w:tc>
          <w:tcPr/>
          <w:p>
            <w:pPr>
              <w:pStyle w:val="Compact"/>
            </w:pPr>
            <w:r>
              <w:rPr>
                <w:rStyle w:val="VerbatimChar"/>
              </w:rPr>
              <w:t xml:space="preserve">[__]</w:t>
            </w:r>
          </w:p>
        </w:tc>
        <w:tc>
          <w:tcPr/>
          <w:p>
            <w:pPr>
              <w:pStyle w:val="Compact"/>
            </w:pPr>
            <w:r>
              <w:rPr>
                <w:rStyle w:val="VerbatimChar"/>
              </w:rPr>
              <w:t xml:space="preserve">[__]</w:t>
            </w:r>
          </w:p>
        </w:tc>
      </w:tr>
      <w:tr>
        <w:tc>
          <w:tcPr/>
          <w:p>
            <w:pPr>
              <w:pStyle w:val="Compact"/>
            </w:pPr>
            <w:r>
              <w:t xml:space="preserve">Year 3</w:t>
            </w:r>
          </w:p>
        </w:tc>
        <w:tc>
          <w:tcPr/>
          <w:p>
            <w:pPr>
              <w:pStyle w:val="Compact"/>
            </w:pPr>
            <w:r>
              <w:rPr>
                <w:rStyle w:val="VerbatimChar"/>
              </w:rPr>
              <w:t xml:space="preserve">[__]</w:t>
            </w:r>
          </w:p>
        </w:tc>
        <w:tc>
          <w:tcPr/>
          <w:p>
            <w:pPr>
              <w:pStyle w:val="Compact"/>
            </w:pPr>
            <w:r>
              <w:rPr>
                <w:rStyle w:val="VerbatimChar"/>
              </w:rPr>
              <w:t xml:space="preserve">[__]</w:t>
            </w:r>
          </w:p>
        </w:tc>
      </w:tr>
    </w:tbl>
    <w:p>
      <w:pPr>
        <w:pStyle w:val="BodyText"/>
      </w:pPr>
      <w:r>
        <w:t xml:space="preserve">Consequence of shortfall:</w:t>
      </w:r>
      <w:r>
        <w:t xml:space="preserve"> </w:t>
      </w:r>
      <w:r>
        <w:rPr>
          <w:b/>
          <w:bCs/>
        </w:rPr>
        <w:t xml:space="preserve">conversion of exclusivity and/or Territory reduction at MADE’s election</w:t>
      </w:r>
      <w:r>
        <w:t xml:space="preserve"> </w:t>
      </w:r>
      <w:r>
        <w:t xml:space="preserve">(Section 4.2). Not a payment obligation (Section 4.3).</w:t>
      </w:r>
    </w:p>
    <w:bookmarkEnd w:id="77"/>
    <w:bookmarkStart w:id="78" w:name="X8959ea935584d2a705d954da0715ca81af3abee"/>
    <w:p>
      <w:pPr>
        <w:pStyle w:val="Heading2"/>
      </w:pPr>
      <w:r>
        <w:t xml:space="preserve">D.3 Volume Incentive — Future Product Credit (Section 9)</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Product</w:t>
            </w:r>
          </w:p>
        </w:tc>
        <w:tc>
          <w:tcPr/>
          <w:p>
            <w:pPr>
              <w:pStyle w:val="Compact"/>
            </w:pPr>
            <w:r>
              <w:t xml:space="preserve">Baseline Threshold (units / calendar year)</w:t>
            </w:r>
          </w:p>
        </w:tc>
        <w:tc>
          <w:tcPr/>
          <w:p>
            <w:pPr>
              <w:pStyle w:val="Compact"/>
            </w:pPr>
            <w:r>
              <w:t xml:space="preserve">Credit Rate (US$ per incremental unit)</w:t>
            </w:r>
          </w:p>
        </w:tc>
      </w:tr>
      <w:tr>
        <w:tc>
          <w:tcPr/>
          <w:p>
            <w:pPr>
              <w:pStyle w:val="Compact"/>
            </w:pPr>
            <w:r>
              <w:t xml:space="preserve">P-01</w:t>
            </w:r>
          </w:p>
        </w:tc>
        <w:tc>
          <w:tcPr/>
          <w:p>
            <w:pPr>
              <w:pStyle w:val="Compact"/>
            </w:pPr>
            <w:r>
              <w:rPr>
                <w:rStyle w:val="VerbatimChar"/>
              </w:rPr>
              <w:t xml:space="preserve">[__]</w:t>
            </w:r>
          </w:p>
        </w:tc>
        <w:tc>
          <w:tcPr/>
          <w:p>
            <w:pPr>
              <w:pStyle w:val="Compact"/>
            </w:pPr>
            <w:r>
              <w:rPr>
                <w:rStyle w:val="VerbatimChar"/>
              </w:rPr>
              <w:t xml:space="preserve">[__]</w:t>
            </w:r>
          </w:p>
        </w:tc>
      </w:tr>
      <w:tr>
        <w:tc>
          <w:tcPr/>
          <w:p>
            <w:pPr>
              <w:pStyle w:val="Compact"/>
            </w:pPr>
            <w:r>
              <w:t xml:space="preserve">P-02</w:t>
            </w:r>
          </w:p>
        </w:tc>
        <w:tc>
          <w:tcPr/>
          <w:p>
            <w:pPr>
              <w:pStyle w:val="Compact"/>
            </w:pPr>
            <w:r>
              <w:rPr>
                <w:rStyle w:val="VerbatimChar"/>
              </w:rPr>
              <w:t xml:space="preserve">[__]</w:t>
            </w:r>
          </w:p>
        </w:tc>
        <w:tc>
          <w:tcPr/>
          <w:p>
            <w:pPr>
              <w:pStyle w:val="Compact"/>
            </w:pPr>
            <w:r>
              <w:rPr>
                <w:rStyle w:val="VerbatimChar"/>
              </w:rPr>
              <w:t xml:space="preserve">[__]</w:t>
            </w:r>
          </w:p>
        </w:tc>
      </w:tr>
      <w:tr>
        <w:tc>
          <w:tcPr/>
          <w:p>
            <w:pPr>
              <w:pStyle w:val="Compact"/>
            </w:pPr>
            <w:r>
              <w:t xml:space="preserve">P-03</w:t>
            </w:r>
          </w:p>
        </w:tc>
        <w:tc>
          <w:tcPr/>
          <w:p>
            <w:pPr>
              <w:pStyle w:val="Compact"/>
            </w:pPr>
            <w:r>
              <w:rPr>
                <w:rStyle w:val="VerbatimChar"/>
              </w:rPr>
              <w:t xml:space="preserve">[__]</w:t>
            </w:r>
          </w:p>
        </w:tc>
        <w:tc>
          <w:tcPr/>
          <w:p>
            <w:pPr>
              <w:pStyle w:val="Compact"/>
            </w:pPr>
            <w:r>
              <w:rPr>
                <w:rStyle w:val="VerbatimChar"/>
              </w:rPr>
              <w:t xml:space="preserve">[__]</w:t>
            </w:r>
          </w:p>
        </w:tc>
      </w:tr>
    </w:tbl>
    <w:p>
      <w:pPr>
        <w:pStyle w:val="BodyText"/>
      </w:pPr>
      <w:r>
        <w:rPr>
          <w:b/>
          <w:bCs/>
        </w:rPr>
        <w:t xml:space="preserve">Worked example.</w:t>
      </w:r>
      <w:r>
        <w:t xml:space="preserve"> </w:t>
      </w:r>
      <w:r>
        <w:t xml:space="preserve">Baseline Threshold for P-01 = 100 units. Credit Rate = US$250/unit. Distributor purchases and pays for 160 Qualifying Units in the calendar year.</w:t>
      </w:r>
      <w:r>
        <w:t xml:space="preserve"> </w:t>
      </w:r>
      <w:r>
        <w:t xml:space="preserve">Product Credit = (160 − 100) × US$250 =</w:t>
      </w:r>
      <w:r>
        <w:t xml:space="preserve"> </w:t>
      </w:r>
      <w:r>
        <w:rPr>
          <w:b/>
          <w:bCs/>
        </w:rPr>
        <w:t xml:space="preserve">US$15,000</w:t>
      </w:r>
      <w:r>
        <w:t xml:space="preserve">, issued as a credit against future Product purchases only.</w:t>
      </w:r>
      <w:r>
        <w:t xml:space="preserve"> </w:t>
      </w:r>
      <w:r>
        <w:t xml:space="preserve">Units 1–100 are</w:t>
      </w:r>
      <w:r>
        <w:t xml:space="preserve"> </w:t>
      </w:r>
      <w:r>
        <w:rPr>
          <w:b/>
          <w:bCs/>
        </w:rPr>
        <w:t xml:space="preserve">not</w:t>
      </w:r>
      <w:r>
        <w:t xml:space="preserve"> </w:t>
      </w:r>
      <w:r>
        <w:t xml:space="preserve">repriced. The credit is</w:t>
      </w:r>
      <w:r>
        <w:t xml:space="preserve"> </w:t>
      </w:r>
      <w:r>
        <w:rPr>
          <w:b/>
          <w:bCs/>
        </w:rPr>
        <w:t xml:space="preserve">not</w:t>
      </w:r>
      <w:r>
        <w:t xml:space="preserve"> </w:t>
      </w:r>
      <w:r>
        <w:t xml:space="preserve">payable in cash and expires 12 months after issue.</w:t>
      </w:r>
    </w:p>
    <w:bookmarkEnd w:id="78"/>
    <w:bookmarkStart w:id="79" w:name="d.4-conditions"/>
    <w:p>
      <w:pPr>
        <w:pStyle w:val="Heading2"/>
      </w:pPr>
      <w:r>
        <w:t xml:space="preserve">D.4 Conditions</w:t>
      </w:r>
    </w:p>
    <w:p>
      <w:pPr>
        <w:pStyle w:val="Compact"/>
        <w:numPr>
          <w:ilvl w:val="0"/>
          <w:numId w:val="1022"/>
        </w:numPr>
      </w:pPr>
      <w:r>
        <w:t xml:space="preserve">Earned only on</w:t>
      </w:r>
      <w:r>
        <w:t xml:space="preserve"> </w:t>
      </w:r>
      <w:r>
        <w:rPr>
          <w:b/>
          <w:bCs/>
        </w:rPr>
        <w:t xml:space="preserve">incremental</w:t>
      </w:r>
      <w:r>
        <w:t xml:space="preserve"> </w:t>
      </w:r>
      <w:r>
        <w:t xml:space="preserve">Qualifying Units above the Baseline Threshold (Section 9.2).</w:t>
      </w:r>
    </w:p>
    <w:p>
      <w:pPr>
        <w:pStyle w:val="Compact"/>
        <w:numPr>
          <w:ilvl w:val="0"/>
          <w:numId w:val="1022"/>
        </w:numPr>
      </w:pPr>
      <w:r>
        <w:t xml:space="preserve">Offered on the same terms to all similarly situated distributors.</w:t>
      </w:r>
    </w:p>
    <w:p>
      <w:pPr>
        <w:pStyle w:val="Compact"/>
        <w:numPr>
          <w:ilvl w:val="0"/>
          <w:numId w:val="1022"/>
        </w:numPr>
      </w:pPr>
      <w:r>
        <w:t xml:space="preserve">Forfeited on material breach, unremedied credit hold, any invoice &gt; 60 days overdue, or termination for cause (Section 9.5).</w:t>
      </w:r>
    </w:p>
    <w:p>
      <w:pPr>
        <w:pStyle w:val="Compact"/>
        <w:numPr>
          <w:ilvl w:val="0"/>
          <w:numId w:val="1022"/>
        </w:numPr>
      </w:pPr>
      <w:r>
        <w:t xml:space="preserve">Not cash, not transferable, not set off (Section 9.5(a)).</w:t>
      </w:r>
    </w:p>
    <w:p>
      <w:r>
        <w:pict>
          <v:rect style="width:0;height:1.5pt" o:hralign="center" o:hrstd="t" o:hr="t"/>
        </w:pict>
      </w:r>
    </w:p>
    <w:bookmarkEnd w:id="79"/>
    <w:bookmarkEnd w:id="80"/>
    <w:bookmarkStart w:id="85" w:name="X4408c311dae717071327889ce03b9771957ec43"/>
    <w:p>
      <w:pPr>
        <w:pStyle w:val="Heading1"/>
      </w:pPr>
      <w:r>
        <w:t xml:space="preserve">SCHEDULE E — ORDERING, SHIPPING AND DROP-SHIP SERVICE</w:t>
      </w:r>
    </w:p>
    <w:bookmarkStart w:id="81" w:name="e.1-ordering-cadence"/>
    <w:p>
      <w:pPr>
        <w:pStyle w:val="Heading2"/>
      </w:pPr>
      <w:r>
        <w:t xml:space="preserve">E.1 Ordering Cadence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Event</w:t>
            </w:r>
          </w:p>
        </w:tc>
        <w:tc>
          <w:tcPr/>
          <w:p>
            <w:pPr>
              <w:pStyle w:val="Compact"/>
            </w:pPr>
            <w:r>
              <w:t xml:space="preserve">Timing</w:t>
            </w:r>
          </w:p>
        </w:tc>
      </w:tr>
      <w:tr>
        <w:tc>
          <w:tcPr/>
          <w:p>
            <w:pPr>
              <w:pStyle w:val="Compact"/>
            </w:pPr>
            <w:r>
              <w:t xml:space="preserve">Order Cut-Off</w:t>
            </w:r>
          </w:p>
        </w:tc>
        <w:tc>
          <w:tcPr/>
          <w:p>
            <w:pPr>
              <w:pStyle w:val="Compact"/>
            </w:pPr>
            <w:r>
              <w:rPr>
                <w:b/>
                <w:bCs/>
              </w:rPr>
              <w:t xml:space="preserve">Monday, 12:00 p.m. US Eastern Time</w:t>
            </w:r>
          </w:p>
        </w:tc>
      </w:tr>
      <w:tr>
        <w:tc>
          <w:tcPr/>
          <w:p>
            <w:pPr>
              <w:pStyle w:val="Compact"/>
            </w:pPr>
            <w:r>
              <w:t xml:space="preserve">Ship Day</w:t>
            </w:r>
          </w:p>
        </w:tc>
        <w:tc>
          <w:tcPr/>
          <w:p>
            <w:pPr>
              <w:pStyle w:val="Compact"/>
            </w:pPr>
            <w:r>
              <w:rPr>
                <w:b/>
                <w:bCs/>
              </w:rPr>
              <w:t xml:space="preserve">Wednesday</w:t>
            </w:r>
            <w:r>
              <w:t xml:space="preserve"> </w:t>
            </w:r>
            <w:r>
              <w:t xml:space="preserve">(once weekly)</w:t>
            </w:r>
          </w:p>
        </w:tc>
      </w:tr>
      <w:tr>
        <w:tc>
          <w:tcPr/>
          <w:p>
            <w:pPr>
              <w:pStyle w:val="Compact"/>
            </w:pPr>
            <w:r>
              <w:t xml:space="preserve">Late orders</w:t>
            </w:r>
          </w:p>
        </w:tc>
        <w:tc>
          <w:tcPr/>
          <w:p>
            <w:pPr>
              <w:pStyle w:val="Compact"/>
            </w:pPr>
            <w:r>
              <w:t xml:space="preserve">Roll to the next available Ship Day</w:t>
            </w:r>
          </w:p>
        </w:tc>
      </w:tr>
      <w:tr>
        <w:tc>
          <w:tcPr/>
          <w:p>
            <w:pPr>
              <w:pStyle w:val="Compact"/>
            </w:pPr>
            <w:r>
              <w:t xml:space="preserve">Holiday / shutdown weeks</w:t>
            </w:r>
          </w:p>
        </w:tc>
        <w:tc>
          <w:tcPr/>
          <w:p>
            <w:pPr>
              <w:pStyle w:val="Compact"/>
            </w:pPr>
            <w:r>
              <w:t xml:space="preserve">Notified per Section 6.3(d)–(e)</w:t>
            </w:r>
          </w:p>
        </w:tc>
      </w:tr>
    </w:tbl>
    <w:p>
      <w:pPr>
        <w:pStyle w:val="BodyText"/>
      </w:pPr>
      <w:r>
        <w:t xml:space="preserve">Indicative lead time from accepted Purchase Order to Ship Day:</w:t>
      </w:r>
      <w:r>
        <w:t xml:space="preserve"> </w:t>
      </w:r>
      <w:r>
        <w:rPr>
          <w:rStyle w:val="VerbatimChar"/>
        </w:rPr>
        <w:t xml:space="preserve">[7–14]</w:t>
      </w:r>
      <w:r>
        <w:t xml:space="preserve"> </w:t>
      </w:r>
      <w:r>
        <w:t xml:space="preserve">days, subject to Lot availability and Quality Unit release.</w:t>
      </w:r>
      <w:r>
        <w:t xml:space="preserve"> </w:t>
      </w:r>
      <w:r>
        <w:rPr>
          <w:b/>
          <w:bCs/>
        </w:rPr>
        <w:t xml:space="preserve">Ship and delivery dates are estimates only; time is not of the essence (Section 6.4).</w:t>
      </w:r>
    </w:p>
    <w:bookmarkEnd w:id="81"/>
    <w:bookmarkStart w:id="82" w:name="e.2-shipping-configuration"/>
    <w:p>
      <w:pPr>
        <w:pStyle w:val="Heading2"/>
      </w:pPr>
      <w:r>
        <w:t xml:space="preserve">E.2 Shipping Configuration</w:t>
      </w:r>
    </w:p>
    <w:p>
      <w:pPr>
        <w:pStyle w:val="Compact"/>
        <w:numPr>
          <w:ilvl w:val="0"/>
          <w:numId w:val="1023"/>
        </w:numPr>
      </w:pPr>
      <w:r>
        <w:t xml:space="preserve">Validated insulated (expanded polystyrene) shipper within an outer fibreboard carton.</w:t>
      </w:r>
    </w:p>
    <w:p>
      <w:pPr>
        <w:pStyle w:val="Compact"/>
        <w:numPr>
          <w:ilvl w:val="0"/>
          <w:numId w:val="1023"/>
        </w:numPr>
      </w:pPr>
      <w:r>
        <w:t xml:space="preserve">Refrigerant:</w:t>
      </w:r>
      <w:r>
        <w:t xml:space="preserve"> </w:t>
      </w:r>
      <w:r>
        <w:rPr>
          <w:b/>
          <w:bCs/>
        </w:rPr>
        <w:t xml:space="preserve">dry ice (solid carbon dioxide, UN1845, Class 9, IATA PI 954)</w:t>
      </w:r>
      <w:r>
        <w:t xml:space="preserve">, or a</w:t>
      </w:r>
      <w:r>
        <w:t xml:space="preserve"> </w:t>
      </w:r>
      <w:r>
        <w:rPr>
          <w:b/>
          <w:bCs/>
        </w:rPr>
        <w:t xml:space="preserve">liquid-nitrogen vapour-phase dry shipper</w:t>
      </w:r>
      <w:r>
        <w:t xml:space="preserve"> </w:t>
      </w:r>
      <w:r>
        <w:t xml:space="preserve">(IATA Special Provision A152) where the Specification requires.</w:t>
      </w:r>
    </w:p>
    <w:p>
      <w:pPr>
        <w:pStyle w:val="Compact"/>
        <w:numPr>
          <w:ilvl w:val="0"/>
          <w:numId w:val="1023"/>
        </w:numPr>
      </w:pPr>
      <w:r>
        <w:t xml:space="preserve">Single-use temperature logger in every shipper.</w:t>
      </w:r>
    </w:p>
    <w:p>
      <w:pPr>
        <w:pStyle w:val="Compact"/>
        <w:numPr>
          <w:ilvl w:val="0"/>
          <w:numId w:val="1023"/>
        </w:numPr>
      </w:pPr>
      <w:r>
        <w:t xml:space="preserve">Validated to maintain −150 °C to −196 °C for up to 10 days (dry shipper), or the Product’s stated condition (dry ice).</w:t>
      </w:r>
    </w:p>
    <w:p>
      <w:pPr>
        <w:pStyle w:val="Compact"/>
        <w:numPr>
          <w:ilvl w:val="0"/>
          <w:numId w:val="1023"/>
        </w:numPr>
      </w:pPr>
      <w:r>
        <w:t xml:space="preserve">Carrier:</w:t>
      </w:r>
      <w:r>
        <w:t xml:space="preserve"> </w:t>
      </w:r>
      <w:r>
        <w:rPr>
          <w:b/>
          <w:bCs/>
        </w:rPr>
        <w:t xml:space="preserve">as nominated by Distributor or its customer</w:t>
      </w:r>
      <w:r>
        <w:t xml:space="preserve">. MADE is not responsible for carrier acts or omissions (Section 13.3).</w:t>
      </w:r>
    </w:p>
    <w:bookmarkEnd w:id="82"/>
    <w:bookmarkStart w:id="83" w:name="e.3-drop-ship-service-section-13"/>
    <w:p>
      <w:pPr>
        <w:pStyle w:val="Heading2"/>
      </w:pPr>
      <w:r>
        <w:t xml:space="preserve">E.3 Drop-Ship Service (Section 13)</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Charge</w:t>
            </w:r>
          </w:p>
        </w:tc>
        <w:tc>
          <w:tcPr/>
          <w:p>
            <w:pPr>
              <w:pStyle w:val="Compact"/>
            </w:pPr>
            <w:r>
              <w:t xml:space="preserve">Amount</w:t>
            </w:r>
          </w:p>
        </w:tc>
      </w:tr>
      <w:tr>
        <w:tc>
          <w:tcPr/>
          <w:p>
            <w:pPr>
              <w:pStyle w:val="Compact"/>
            </w:pPr>
            <w:r>
              <w:t xml:space="preserve">Drop-Ship Service fee</w:t>
            </w:r>
          </w:p>
        </w:tc>
        <w:tc>
          <w:tcPr/>
          <w:p>
            <w:pPr>
              <w:pStyle w:val="Compact"/>
            </w:pPr>
            <w:r>
              <w:t xml:space="preserve">US$</w:t>
            </w:r>
            <w:r>
              <w:rPr>
                <w:rStyle w:val="VerbatimChar"/>
              </w:rPr>
              <w:t xml:space="preserve">[__]</w:t>
            </w:r>
            <w:r>
              <w:t xml:space="preserve"> </w:t>
            </w:r>
            <w:r>
              <w:t xml:space="preserve">per shipment</w:t>
            </w:r>
          </w:p>
        </w:tc>
      </w:tr>
      <w:tr>
        <w:tc>
          <w:tcPr/>
          <w:p>
            <w:pPr>
              <w:pStyle w:val="Compact"/>
            </w:pPr>
            <w:r>
              <w:t xml:space="preserve">Overnight freight</w:t>
            </w:r>
          </w:p>
        </w:tc>
        <w:tc>
          <w:tcPr/>
          <w:p>
            <w:pPr>
              <w:pStyle w:val="Compact"/>
            </w:pPr>
            <w:r>
              <w:rPr>
                <w:b/>
                <w:bCs/>
              </w:rPr>
              <w:t xml:space="preserve">at cost, passed through without markup</w:t>
            </w:r>
          </w:p>
        </w:tc>
      </w:tr>
      <w:tr>
        <w:tc>
          <w:tcPr/>
          <w:p>
            <w:pPr>
              <w:pStyle w:val="Compact"/>
            </w:pPr>
            <w:r>
              <w:t xml:space="preserve">Dry ice / shipper / logger</w:t>
            </w:r>
          </w:p>
        </w:tc>
        <w:tc>
          <w:tcPr/>
          <w:p>
            <w:pPr>
              <w:pStyle w:val="Compact"/>
            </w:pPr>
            <w:r>
              <w:rPr>
                <w:b/>
                <w:bCs/>
              </w:rPr>
              <w:t xml:space="preserve">at cost</w:t>
            </w:r>
          </w:p>
        </w:tc>
      </w:tr>
      <w:tr>
        <w:tc>
          <w:tcPr/>
          <w:p>
            <w:pPr>
              <w:pStyle w:val="Compact"/>
            </w:pPr>
            <w:r>
              <w:t xml:space="preserve">Accessorial, remote-area, Saturday delivery</w:t>
            </w:r>
          </w:p>
        </w:tc>
        <w:tc>
          <w:tcPr/>
          <w:p>
            <w:pPr>
              <w:pStyle w:val="Compact"/>
            </w:pPr>
            <w:r>
              <w:t xml:space="preserve">at cost</w:t>
            </w:r>
          </w:p>
        </w:tc>
      </w:tr>
      <w:tr>
        <w:tc>
          <w:tcPr/>
          <w:p>
            <w:pPr>
              <w:pStyle w:val="Compact"/>
            </w:pPr>
            <w:r>
              <w:t xml:space="preserve">Dry-shipper rental beyond</w:t>
            </w:r>
            <w:r>
              <w:t xml:space="preserve"> </w:t>
            </w:r>
            <w:r>
              <w:rPr>
                <w:rStyle w:val="VerbatimChar"/>
              </w:rPr>
              <w:t xml:space="preserve">[14]</w:t>
            </w:r>
            <w:r>
              <w:t xml:space="preserve"> </w:t>
            </w:r>
            <w:r>
              <w:t xml:space="preserve">days</w:t>
            </w:r>
          </w:p>
        </w:tc>
        <w:tc>
          <w:tcPr/>
          <w:p>
            <w:pPr>
              <w:pStyle w:val="Compact"/>
            </w:pPr>
            <w:r>
              <w:t xml:space="preserve">US$</w:t>
            </w:r>
            <w:r>
              <w:rPr>
                <w:rStyle w:val="VerbatimChar"/>
              </w:rPr>
              <w:t xml:space="preserve">[__]</w:t>
            </w:r>
            <w:r>
              <w:t xml:space="preserve"> </w:t>
            </w:r>
            <w:r>
              <w:t xml:space="preserve">per day</w:t>
            </w:r>
          </w:p>
        </w:tc>
      </w:tr>
      <w:tr>
        <w:tc>
          <w:tcPr/>
          <w:p>
            <w:pPr>
              <w:pStyle w:val="Compact"/>
            </w:pPr>
            <w:r>
              <w:t xml:space="preserve">Dry-shipper loss or damage</w:t>
            </w:r>
          </w:p>
        </w:tc>
        <w:tc>
          <w:tcPr/>
          <w:p>
            <w:pPr>
              <w:pStyle w:val="Compact"/>
            </w:pPr>
            <w:r>
              <w:t xml:space="preserve">US$</w:t>
            </w:r>
            <w:r>
              <w:rPr>
                <w:rStyle w:val="VerbatimChar"/>
              </w:rPr>
              <w:t xml:space="preserve">[__]</w:t>
            </w:r>
            <w:r>
              <w:t xml:space="preserve"> </w:t>
            </w:r>
            <w:r>
              <w:t xml:space="preserve">replacement</w:t>
            </w:r>
          </w:p>
        </w:tc>
      </w:tr>
    </w:tbl>
    <w:p>
      <w:pPr>
        <w:pStyle w:val="BodyText"/>
      </w:pPr>
      <w:r>
        <w:t xml:space="preserve">Conditions: Distributor remains</w:t>
      </w:r>
      <w:r>
        <w:t xml:space="preserve"> </w:t>
      </w:r>
      <w:r>
        <w:rPr>
          <w:b/>
          <w:bCs/>
        </w:rPr>
        <w:t xml:space="preserve">seller of record</w:t>
      </w:r>
      <w:r>
        <w:t xml:space="preserve"> </w:t>
      </w:r>
      <w:r>
        <w:t xml:space="preserve">(Section 13.5); Distributor supplies a valid resale/exemption certificate; Distributor’s customer must have executed the</w:t>
      </w:r>
      <w:r>
        <w:t xml:space="preserve"> </w:t>
      </w:r>
      <w:r>
        <w:rPr>
          <w:b/>
          <w:bCs/>
        </w:rPr>
        <w:t xml:space="preserve">End-User Certificate (Exhibit 3)</w:t>
      </w:r>
      <w:r>
        <w:t xml:space="preserve"> </w:t>
      </w:r>
      <w:r>
        <w:t xml:space="preserve">before MADE is instructed to ship;</w:t>
      </w:r>
      <w:r>
        <w:t xml:space="preserve"> </w:t>
      </w:r>
      <w:r>
        <w:rPr>
          <w:b/>
          <w:bCs/>
        </w:rPr>
        <w:t xml:space="preserve">risk passes on tender to the carrier at MADE’s facility</w:t>
      </w:r>
      <w:r>
        <w:t xml:space="preserve"> </w:t>
      </w:r>
      <w:r>
        <w:t xml:space="preserve">(Sections 12.2, 13.6).</w:t>
      </w:r>
    </w:p>
    <w:bookmarkEnd w:id="83"/>
    <w:bookmarkStart w:id="84" w:name="X31aa3b0ea0f95b7ba63c9f6ebe93402ab1d6e80"/>
    <w:p>
      <w:pPr>
        <w:pStyle w:val="Heading2"/>
      </w:pPr>
      <w:r>
        <w:t xml:space="preserve">E.4 Inspection and Rejection Windows (Section 15)</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Event</w:t>
            </w:r>
          </w:p>
        </w:tc>
        <w:tc>
          <w:tcPr/>
          <w:p>
            <w:pPr>
              <w:pStyle w:val="Compact"/>
            </w:pPr>
            <w:r>
              <w:t xml:space="preserve">Notice period</w:t>
            </w:r>
          </w:p>
        </w:tc>
      </w:tr>
      <w:tr>
        <w:tc>
          <w:tcPr/>
          <w:p>
            <w:pPr>
              <w:pStyle w:val="Compact"/>
            </w:pPr>
            <w:r>
              <w:t xml:space="preserve">Visible damage, packaging breach, temperature excursion, logger alarm</w:t>
            </w:r>
          </w:p>
        </w:tc>
        <w:tc>
          <w:tcPr/>
          <w:p>
            <w:pPr>
              <w:pStyle w:val="Compact"/>
            </w:pPr>
            <w:r>
              <w:rPr>
                <w:b/>
                <w:bCs/>
              </w:rPr>
              <w:t xml:space="preserve">48 hours</w:t>
            </w:r>
            <w:r>
              <w:t xml:space="preserve"> </w:t>
            </w:r>
            <w:r>
              <w:t xml:space="preserve">from receipt</w:t>
            </w:r>
          </w:p>
        </w:tc>
      </w:tr>
      <w:tr>
        <w:tc>
          <w:tcPr/>
          <w:p>
            <w:pPr>
              <w:pStyle w:val="Compact"/>
            </w:pPr>
            <w:r>
              <w:t xml:space="preserve">Shortage, mis-shipment, concealed non-conformity</w:t>
            </w:r>
          </w:p>
        </w:tc>
        <w:tc>
          <w:tcPr/>
          <w:p>
            <w:pPr>
              <w:pStyle w:val="Compact"/>
            </w:pPr>
            <w:r>
              <w:rPr>
                <w:b/>
                <w:bCs/>
              </w:rPr>
              <w:t xml:space="preserve">5 Business Days</w:t>
            </w:r>
            <w:r>
              <w:t xml:space="preserve"> </w:t>
            </w:r>
            <w:r>
              <w:t xml:space="preserve">from receipt</w:t>
            </w:r>
          </w:p>
        </w:tc>
      </w:tr>
      <w:tr>
        <w:tc>
          <w:tcPr/>
          <w:p>
            <w:pPr>
              <w:pStyle w:val="Compact"/>
            </w:pPr>
            <w:r>
              <w:t xml:space="preserve">Latent defect</w:t>
            </w:r>
          </w:p>
        </w:tc>
        <w:tc>
          <w:tcPr/>
          <w:p>
            <w:pPr>
              <w:pStyle w:val="Compact"/>
            </w:pPr>
            <w:r>
              <w:t xml:space="preserve">30 days from discovery, within shelf life</w:t>
            </w:r>
          </w:p>
        </w:tc>
      </w:tr>
    </w:tbl>
    <w:p>
      <w:pPr>
        <w:pStyle w:val="BodyText"/>
      </w:pPr>
      <w:r>
        <w:t xml:space="preserve">Return requires a</w:t>
      </w:r>
      <w:r>
        <w:t xml:space="preserve"> </w:t>
      </w:r>
      <w:r>
        <w:rPr>
          <w:b/>
          <w:bCs/>
        </w:rPr>
        <w:t xml:space="preserve">Return Material Authorisation</w:t>
      </w:r>
      <w:r>
        <w:t xml:space="preserve">. No RMA is issued for Custom Products, Custom Configurations, White Label Products, or Samples.</w:t>
      </w:r>
    </w:p>
    <w:p>
      <w:r>
        <w:pict>
          <v:rect style="width:0;height:1.5pt" o:hralign="center" o:hrstd="t" o:hr="t"/>
        </w:pict>
      </w:r>
    </w:p>
    <w:bookmarkEnd w:id="84"/>
    <w:bookmarkEnd w:id="85"/>
    <w:bookmarkStart w:id="89" w:name="Xfe07d17e50aa889671629a3eb2e1ec6333b3a52"/>
    <w:p>
      <w:pPr>
        <w:pStyle w:val="Heading1"/>
      </w:pPr>
      <w:r>
        <w:t xml:space="preserve">SCHEDULE F — QUALITY, LABELING AND REGULATORY RESPONSIBILITY MATRIX</w:t>
      </w:r>
    </w:p>
    <w:bookmarkStart w:id="86" w:name="X431652705d7217e8379d026449eaeeaa8b0fdfe"/>
    <w:p>
      <w:pPr>
        <w:pStyle w:val="Heading2"/>
      </w:pPr>
      <w:r>
        <w:t xml:space="preserve">F.1 Documentation supplied with each shipment</w:t>
      </w:r>
    </w:p>
    <w:p>
      <w:pPr>
        <w:pStyle w:val="FirstParagraph"/>
      </w:pPr>
      <w:r>
        <w:t xml:space="preserve">Certificate of Analysis · Certificate of Origin · temperature record · packing list ·</w:t>
      </w:r>
      <w:r>
        <w:t xml:space="preserve"> </w:t>
      </w:r>
      <w:r>
        <w:rPr>
          <w:rStyle w:val="VerbatimChar"/>
        </w:rPr>
        <w:t xml:space="preserve">[Safety Data Sheet]</w:t>
      </w:r>
    </w:p>
    <w:bookmarkEnd w:id="86"/>
    <w:bookmarkStart w:id="87" w:name="X810fccb3e28a650b03fdf32bbb261d053b4c3a3"/>
    <w:p>
      <w:pPr>
        <w:pStyle w:val="Heading2"/>
      </w:pPr>
      <w:r>
        <w:t xml:space="preserve">F.2 Regulatory Responsibility Matrix (Section 23.1)</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Responsibility</w:t>
            </w:r>
          </w:p>
        </w:tc>
        <w:tc>
          <w:tcPr/>
          <w:p>
            <w:pPr>
              <w:pStyle w:val="Compact"/>
            </w:pPr>
            <w:r>
              <w:t xml:space="preserve">MADE</w:t>
            </w:r>
          </w:p>
        </w:tc>
        <w:tc>
          <w:tcPr/>
          <w:p>
            <w:pPr>
              <w:pStyle w:val="Compact"/>
            </w:pPr>
            <w:r>
              <w:t xml:space="preserve">Distributor</w:t>
            </w:r>
          </w:p>
        </w:tc>
      </w:tr>
      <w:tr>
        <w:tc>
          <w:tcPr/>
          <w:p>
            <w:pPr>
              <w:pStyle w:val="Compact"/>
            </w:pPr>
            <w:r>
              <w:t xml:space="preserve">Manufacture, Quality Unit release, CoA / CoC, cGMP records</w:t>
            </w:r>
          </w:p>
        </w:tc>
        <w:tc>
          <w:tcPr/>
          <w:p>
            <w:pPr>
              <w:pStyle w:val="Compact"/>
            </w:pPr>
            <w:r>
              <w:t xml:space="preserve">●</w:t>
            </w:r>
          </w:p>
        </w:tc>
        <w:tc>
          <w:tcPr/>
          <w:p>
            <w:pPr>
              <w:pStyle w:val="Compact"/>
            </w:pPr>
            <w:r>
              <w:t xml:space="preserve">—</w:t>
            </w:r>
          </w:p>
        </w:tc>
      </w:tr>
      <w:tr>
        <w:tc>
          <w:tcPr/>
          <w:p>
            <w:pPr>
              <w:pStyle w:val="Compact"/>
            </w:pPr>
            <w:r>
              <w:t xml:space="preserve">Applies RUO Legend and product labelling</w:t>
            </w:r>
          </w:p>
        </w:tc>
        <w:tc>
          <w:tcPr/>
          <w:p>
            <w:pPr>
              <w:pStyle w:val="Compact"/>
            </w:pPr>
            <w:r>
              <w:t xml:space="preserve">●</w:t>
            </w:r>
          </w:p>
        </w:tc>
        <w:tc>
          <w:tcPr/>
          <w:p>
            <w:pPr>
              <w:pStyle w:val="Compact"/>
            </w:pPr>
            <w:r>
              <w:t xml:space="preserve">—</w:t>
            </w:r>
          </w:p>
        </w:tc>
      </w:tr>
      <w:tr>
        <w:tc>
          <w:tcPr/>
          <w:p>
            <w:pPr>
              <w:pStyle w:val="Compact"/>
            </w:pPr>
            <w:r>
              <w:t xml:space="preserve">Must not alter, obscure, or remove RUO Legend</w:t>
            </w:r>
          </w:p>
        </w:tc>
        <w:tc>
          <w:tcPr/>
          <w:p>
            <w:pPr>
              <w:pStyle w:val="Compact"/>
            </w:pPr>
            <w:r>
              <w:t xml:space="preserve">—</w:t>
            </w:r>
          </w:p>
        </w:tc>
        <w:tc>
          <w:tcPr/>
          <w:p>
            <w:pPr>
              <w:pStyle w:val="Compact"/>
            </w:pPr>
            <w:r>
              <w:t xml:space="preserve">●</w:t>
            </w:r>
          </w:p>
        </w:tc>
      </w:tr>
      <w:tr>
        <w:tc>
          <w:tcPr/>
          <w:p>
            <w:pPr>
              <w:pStyle w:val="Compact"/>
            </w:pPr>
            <w:r>
              <w:t xml:space="preserve">US export documentation (Certificate of Exportability / non-clinical research-use certificate)</w:t>
            </w:r>
          </w:p>
        </w:tc>
        <w:tc>
          <w:tcPr/>
          <w:p>
            <w:pPr>
              <w:pStyle w:val="Compact"/>
            </w:pPr>
            <w:r>
              <w:t xml:space="preserve">● (applies)</w:t>
            </w:r>
          </w:p>
        </w:tc>
        <w:tc>
          <w:tcPr/>
          <w:p>
            <w:pPr>
              <w:pStyle w:val="Compact"/>
            </w:pPr>
            <w:r>
              <w:t xml:space="preserve">assists</w:t>
            </w:r>
          </w:p>
        </w:tc>
      </w:tr>
      <w:tr>
        <w:tc>
          <w:tcPr/>
          <w:p>
            <w:pPr>
              <w:pStyle w:val="Compact"/>
            </w:pPr>
            <w:r>
              <w:t xml:space="preserve">Import permit, customs clearance,</w:t>
            </w:r>
            <w:r>
              <w:t xml:space="preserve"> </w:t>
            </w:r>
            <w:r>
              <w:rPr>
                <w:b/>
                <w:bCs/>
              </w:rPr>
              <w:t xml:space="preserve">importer of record</w:t>
            </w:r>
          </w:p>
        </w:tc>
        <w:tc>
          <w:tcPr/>
          <w:p>
            <w:pPr>
              <w:pStyle w:val="Compact"/>
            </w:pPr>
            <w:r>
              <w:t xml:space="preserve">—</w:t>
            </w:r>
          </w:p>
        </w:tc>
        <w:tc>
          <w:tcPr/>
          <w:p>
            <w:pPr>
              <w:pStyle w:val="Compact"/>
            </w:pPr>
            <w:r>
              <w:t xml:space="preserve">●</w:t>
            </w:r>
          </w:p>
        </w:tc>
      </w:tr>
      <w:tr>
        <w:tc>
          <w:tcPr/>
          <w:p>
            <w:pPr>
              <w:pStyle w:val="Compact"/>
            </w:pPr>
            <w:r>
              <w:t xml:space="preserve">Local product registration / notification</w:t>
            </w:r>
          </w:p>
        </w:tc>
        <w:tc>
          <w:tcPr/>
          <w:p>
            <w:pPr>
              <w:pStyle w:val="Compact"/>
            </w:pPr>
            <w:r>
              <w:t xml:space="preserve">—</w:t>
            </w:r>
          </w:p>
        </w:tc>
        <w:tc>
          <w:tcPr/>
          <w:p>
            <w:pPr>
              <w:pStyle w:val="Compact"/>
            </w:pPr>
            <w:r>
              <w:t xml:space="preserve">●</w:t>
            </w:r>
          </w:p>
        </w:tc>
      </w:tr>
      <w:tr>
        <w:tc>
          <w:tcPr/>
          <w:p>
            <w:pPr>
              <w:pStyle w:val="Compact"/>
            </w:pPr>
            <w:r>
              <w:t xml:space="preserve">Territory-language labelling compliance</w:t>
            </w:r>
          </w:p>
        </w:tc>
        <w:tc>
          <w:tcPr/>
          <w:p>
            <w:pPr>
              <w:pStyle w:val="Compact"/>
            </w:pPr>
            <w:r>
              <w:t xml:space="preserve">reviews &amp; approves artwork</w:t>
            </w:r>
          </w:p>
        </w:tc>
        <w:tc>
          <w:tcPr/>
          <w:p>
            <w:pPr>
              <w:pStyle w:val="Compact"/>
            </w:pPr>
            <w:r>
              <w:t xml:space="preserve">● (executes)</w:t>
            </w:r>
          </w:p>
        </w:tc>
      </w:tr>
      <w:tr>
        <w:tc>
          <w:tcPr/>
          <w:p>
            <w:pPr>
              <w:pStyle w:val="Compact"/>
            </w:pPr>
            <w:r>
              <w:t xml:space="preserve">Cold-chain storage and handling after tender to carrier</w:t>
            </w:r>
          </w:p>
        </w:tc>
        <w:tc>
          <w:tcPr/>
          <w:p>
            <w:pPr>
              <w:pStyle w:val="Compact"/>
            </w:pPr>
            <w:r>
              <w:t xml:space="preserve">sets specification</w:t>
            </w:r>
          </w:p>
        </w:tc>
        <w:tc>
          <w:tcPr/>
          <w:p>
            <w:pPr>
              <w:pStyle w:val="Compact"/>
            </w:pPr>
            <w:r>
              <w:t xml:space="preserve">● (maintains, monitors, documents)</w:t>
            </w:r>
          </w:p>
        </w:tc>
      </w:tr>
      <w:tr>
        <w:tc>
          <w:tcPr/>
          <w:p>
            <w:pPr>
              <w:pStyle w:val="Compact"/>
            </w:pPr>
            <w:r>
              <w:t xml:space="preserve">Complaint intake from customers</w:t>
            </w:r>
          </w:p>
        </w:tc>
        <w:tc>
          <w:tcPr/>
          <w:p>
            <w:pPr>
              <w:pStyle w:val="Compact"/>
            </w:pPr>
            <w:r>
              <w:t xml:space="preserve">—</w:t>
            </w:r>
          </w:p>
        </w:tc>
        <w:tc>
          <w:tcPr/>
          <w:p>
            <w:pPr>
              <w:pStyle w:val="Compact"/>
            </w:pPr>
            <w:r>
              <w:t xml:space="preserve">● (collect + forward)</w:t>
            </w:r>
          </w:p>
        </w:tc>
      </w:tr>
      <w:tr>
        <w:tc>
          <w:tcPr/>
          <w:p>
            <w:pPr>
              <w:pStyle w:val="Compact"/>
            </w:pPr>
            <w:r>
              <w:t xml:space="preserve">Adverse Event intake and forwarding</w:t>
            </w:r>
          </w:p>
        </w:tc>
        <w:tc>
          <w:tcPr/>
          <w:p>
            <w:pPr>
              <w:pStyle w:val="Compact"/>
            </w:pPr>
            <w:r>
              <w:t xml:space="preserve">—</w:t>
            </w:r>
          </w:p>
        </w:tc>
        <w:tc>
          <w:tcPr/>
          <w:p>
            <w:pPr>
              <w:pStyle w:val="Compact"/>
            </w:pPr>
            <w:r>
              <w:t xml:space="preserve">● (forward per F.3)</w:t>
            </w:r>
          </w:p>
        </w:tc>
      </w:tr>
      <w:tr>
        <w:tc>
          <w:tcPr/>
          <w:p>
            <w:pPr>
              <w:pStyle w:val="Compact"/>
            </w:pPr>
            <w:r>
              <w:rPr>
                <w:b/>
                <w:bCs/>
              </w:rPr>
              <w:t xml:space="preserve">Reporting to any Governmental Authority</w:t>
            </w:r>
          </w:p>
        </w:tc>
        <w:tc>
          <w:tcPr/>
          <w:p>
            <w:pPr>
              <w:pStyle w:val="Compact"/>
            </w:pPr>
            <w:r>
              <w:t xml:space="preserve">● (sole)</w:t>
            </w:r>
          </w:p>
        </w:tc>
        <w:tc>
          <w:tcPr/>
          <w:p>
            <w:pPr>
              <w:pStyle w:val="Compact"/>
            </w:pPr>
            <w:r>
              <w:t xml:space="preserve">notify MADE per F.3; cooperate</w:t>
            </w:r>
          </w:p>
        </w:tc>
      </w:tr>
      <w:tr>
        <w:tc>
          <w:tcPr/>
          <w:p>
            <w:pPr>
              <w:pStyle w:val="Compact"/>
            </w:pPr>
            <w:r>
              <w:t xml:space="preserve">Recall decision and strategy</w:t>
            </w:r>
          </w:p>
        </w:tc>
        <w:tc>
          <w:tcPr/>
          <w:p>
            <w:pPr>
              <w:pStyle w:val="Compact"/>
            </w:pPr>
            <w:r>
              <w:t xml:space="preserve">● (sole)</w:t>
            </w:r>
          </w:p>
        </w:tc>
        <w:tc>
          <w:tcPr/>
          <w:p>
            <w:pPr>
              <w:pStyle w:val="Compact"/>
            </w:pPr>
            <w:r>
              <w:t xml:space="preserve">● (executes, retrieves, reports)</w:t>
            </w:r>
          </w:p>
        </w:tc>
      </w:tr>
      <w:tr>
        <w:tc>
          <w:tcPr/>
          <w:p>
            <w:pPr>
              <w:pStyle w:val="Compact"/>
            </w:pPr>
            <w:r>
              <w:t xml:space="preserve">Distribution traceability records (lot / consignee)</w:t>
            </w:r>
          </w:p>
        </w:tc>
        <w:tc>
          <w:tcPr/>
          <w:p>
            <w:pPr>
              <w:pStyle w:val="Compact"/>
            </w:pPr>
            <w:r>
              <w:t xml:space="preserve">● (to Distributor)</w:t>
            </w:r>
          </w:p>
        </w:tc>
        <w:tc>
          <w:tcPr/>
          <w:p>
            <w:pPr>
              <w:pStyle w:val="Compact"/>
            </w:pPr>
            <w:r>
              <w:t xml:space="preserve">● (to customers)</w:t>
            </w:r>
          </w:p>
        </w:tc>
      </w:tr>
      <w:tr>
        <w:tc>
          <w:tcPr/>
          <w:p>
            <w:pPr>
              <w:pStyle w:val="Compact"/>
            </w:pPr>
            <w:r>
              <w:t xml:space="preserve">Know-your-customer records and End-User Certificates</w:t>
            </w:r>
          </w:p>
        </w:tc>
        <w:tc>
          <w:tcPr/>
          <w:p>
            <w:pPr>
              <w:pStyle w:val="Compact"/>
            </w:pPr>
            <w:r>
              <w:t xml:space="preserve">audits</w:t>
            </w:r>
          </w:p>
        </w:tc>
        <w:tc>
          <w:tcPr/>
          <w:p>
            <w:pPr>
              <w:pStyle w:val="Compact"/>
            </w:pPr>
            <w:r>
              <w:t xml:space="preserve">● (collects, retains)</w:t>
            </w:r>
          </w:p>
        </w:tc>
      </w:tr>
    </w:tbl>
    <w:bookmarkEnd w:id="87"/>
    <w:bookmarkStart w:id="88" w:name="X6d4ea692115992b72476998be5a0bc7be70b170"/>
    <w:p>
      <w:pPr>
        <w:pStyle w:val="Heading2"/>
      </w:pPr>
      <w:r>
        <w:t xml:space="preserve">F.3 Complaint and Adverse-Event Reporting Channel</w:t>
      </w:r>
    </w:p>
    <w:p>
      <w:pPr>
        <w:pStyle w:val="FirstParagraph"/>
      </w:pPr>
      <w:r>
        <w:t xml:space="preserve">Reports to:</w:t>
      </w:r>
      <w:r>
        <w:t xml:space="preserve"> </w:t>
      </w:r>
      <w:r>
        <w:rPr>
          <w:rStyle w:val="VerbatimChar"/>
        </w:rPr>
        <w:t xml:space="preserve">[quality@madescientific.com]</w:t>
      </w:r>
      <w:r>
        <w:t xml:space="preserve"> </w:t>
      </w:r>
      <w:r>
        <w:t xml:space="preserve">/</w:t>
      </w:r>
      <w:r>
        <w:t xml:space="preserve"> </w:t>
      </w:r>
      <w:r>
        <w:rPr>
          <w:rStyle w:val="VerbatimChar"/>
        </w:rPr>
        <w:t xml:space="preserve">[Portal complaint form]</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Event</w:t>
            </w:r>
          </w:p>
        </w:tc>
        <w:tc>
          <w:tcPr/>
          <w:p>
            <w:pPr>
              <w:pStyle w:val="Compact"/>
            </w:pPr>
            <w:r>
              <w:t xml:space="preserve">Distributor must notify MADE within</w:t>
            </w:r>
          </w:p>
        </w:tc>
      </w:tr>
      <w:tr>
        <w:tc>
          <w:tcPr/>
          <w:p>
            <w:pPr>
              <w:pStyle w:val="Compact"/>
            </w:pPr>
            <w:r>
              <w:t xml:space="preserve">Serious, life-threatening, or fatal Adverse Event</w:t>
            </w:r>
          </w:p>
        </w:tc>
        <w:tc>
          <w:tcPr/>
          <w:p>
            <w:pPr>
              <w:pStyle w:val="Compact"/>
            </w:pPr>
            <w:r>
              <w:rPr>
                <w:b/>
                <w:bCs/>
              </w:rPr>
              <w:t xml:space="preserve">24 hours</w:t>
            </w:r>
          </w:p>
        </w:tc>
      </w:tr>
      <w:tr>
        <w:tc>
          <w:tcPr/>
          <w:p>
            <w:pPr>
              <w:pStyle w:val="Compact"/>
            </w:pPr>
            <w:r>
              <w:t xml:space="preserve">Any other Adverse Event</w:t>
            </w:r>
          </w:p>
        </w:tc>
        <w:tc>
          <w:tcPr/>
          <w:p>
            <w:pPr>
              <w:pStyle w:val="Compact"/>
            </w:pPr>
            <w:r>
              <w:rPr>
                <w:b/>
                <w:bCs/>
              </w:rPr>
              <w:t xml:space="preserve">3 calendar days</w:t>
            </w:r>
          </w:p>
        </w:tc>
      </w:tr>
      <w:tr>
        <w:tc>
          <w:tcPr/>
          <w:p>
            <w:pPr>
              <w:pStyle w:val="Compact"/>
            </w:pPr>
            <w:r>
              <w:t xml:space="preserve">Product quality complaint</w:t>
            </w:r>
          </w:p>
        </w:tc>
        <w:tc>
          <w:tcPr/>
          <w:p>
            <w:pPr>
              <w:pStyle w:val="Compact"/>
            </w:pPr>
            <w:r>
              <w:rPr>
                <w:b/>
                <w:bCs/>
              </w:rPr>
              <w:t xml:space="preserve">2 Business Days</w:t>
            </w:r>
          </w:p>
        </w:tc>
      </w:tr>
      <w:tr>
        <w:tc>
          <w:tcPr/>
          <w:p>
            <w:pPr>
              <w:pStyle w:val="Compact"/>
            </w:pPr>
            <w:r>
              <w:t xml:space="preserve">Complaint indicating safety issue, contamination, or Prohibited Clinical Use</w:t>
            </w:r>
          </w:p>
        </w:tc>
        <w:tc>
          <w:tcPr/>
          <w:p>
            <w:pPr>
              <w:pStyle w:val="Compact"/>
            </w:pPr>
            <w:r>
              <w:rPr>
                <w:b/>
                <w:bCs/>
              </w:rPr>
              <w:t xml:space="preserve">24 hours</w:t>
            </w:r>
          </w:p>
        </w:tc>
      </w:tr>
      <w:tr>
        <w:tc>
          <w:tcPr/>
          <w:p>
            <w:pPr>
              <w:pStyle w:val="Compact"/>
            </w:pPr>
            <w:r>
              <w:t xml:space="preserve">Contact, inquiry, inspection, or demand from any Governmental Authority</w:t>
            </w:r>
          </w:p>
        </w:tc>
        <w:tc>
          <w:tcPr/>
          <w:p>
            <w:pPr>
              <w:pStyle w:val="Compact"/>
            </w:pPr>
            <w:r>
              <w:rPr>
                <w:b/>
                <w:bCs/>
              </w:rPr>
              <w:t xml:space="preserve">24 hours</w:t>
            </w:r>
          </w:p>
        </w:tc>
      </w:tr>
      <w:tr>
        <w:tc>
          <w:tcPr/>
          <w:p>
            <w:pPr>
              <w:pStyle w:val="Compact"/>
            </w:pPr>
            <w:r>
              <w:t xml:space="preserve">Known or suspected Prohibited Clinical Use or diversion</w:t>
            </w:r>
          </w:p>
        </w:tc>
        <w:tc>
          <w:tcPr/>
          <w:p>
            <w:pPr>
              <w:pStyle w:val="Compact"/>
            </w:pPr>
            <w:r>
              <w:rPr>
                <w:b/>
                <w:bCs/>
              </w:rPr>
              <w:t xml:space="preserve">2 Business Days</w:t>
            </w:r>
          </w:p>
        </w:tc>
      </w:tr>
      <w:tr>
        <w:tc>
          <w:tcPr/>
          <w:p>
            <w:pPr>
              <w:pStyle w:val="Compact"/>
            </w:pPr>
            <w:r>
              <w:t xml:space="preserve">Temperature excursion or storage equipment failure</w:t>
            </w:r>
          </w:p>
        </w:tc>
        <w:tc>
          <w:tcPr/>
          <w:p>
            <w:pPr>
              <w:pStyle w:val="Compact"/>
            </w:pPr>
            <w:r>
              <w:rPr>
                <w:b/>
                <w:bCs/>
              </w:rPr>
              <w:t xml:space="preserve">24 hours</w:t>
            </w:r>
          </w:p>
        </w:tc>
      </w:tr>
      <w:tr>
        <w:tc>
          <w:tcPr/>
          <w:p>
            <w:pPr>
              <w:pStyle w:val="Compact"/>
            </w:pPr>
            <w:r>
              <w:t xml:space="preserve">Actual or suspected Database breach</w:t>
            </w:r>
          </w:p>
        </w:tc>
        <w:tc>
          <w:tcPr/>
          <w:p>
            <w:pPr>
              <w:pStyle w:val="Compact"/>
            </w:pPr>
            <w:r>
              <w:rPr>
                <w:b/>
                <w:bCs/>
              </w:rPr>
              <w:t xml:space="preserve">48 hours</w:t>
            </w:r>
          </w:p>
        </w:tc>
      </w:tr>
    </w:tbl>
    <w:p>
      <w:pPr>
        <w:pStyle w:val="BodyText"/>
      </w:pPr>
      <w:r>
        <w:t xml:space="preserve">Minimum data set: reporter identity and contact details · Product and Lot number · description of event · relevant dates.</w:t>
      </w:r>
    </w:p>
    <w:p>
      <w:r>
        <w:pict>
          <v:rect style="width:0;height:1.5pt" o:hralign="center" o:hrstd="t" o:hr="t"/>
        </w:pict>
      </w:r>
    </w:p>
    <w:bookmarkEnd w:id="88"/>
    <w:bookmarkEnd w:id="89"/>
    <w:bookmarkStart w:id="95" w:name="schedule-g-sampling-policy"/>
    <w:p>
      <w:pPr>
        <w:pStyle w:val="Heading1"/>
      </w:pPr>
      <w:r>
        <w:t xml:space="preserve">SCHEDULE G — SAMPLING POLICY</w:t>
      </w:r>
    </w:p>
    <w:bookmarkStart w:id="90" w:name="g.1-earned-sampling-allowance"/>
    <w:p>
      <w:pPr>
        <w:pStyle w:val="Heading2"/>
      </w:pPr>
      <w:r>
        <w:t xml:space="preserve">G.1 Earned Sampling Allowance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Committed / recurring order value</w:t>
            </w:r>
          </w:p>
        </w:tc>
        <w:tc>
          <w:tcPr/>
          <w:p>
            <w:pPr>
              <w:pStyle w:val="Compact"/>
            </w:pPr>
            <w:r>
              <w:t xml:space="preserve">Sample units released</w:t>
            </w:r>
          </w:p>
        </w:tc>
      </w:tr>
      <w:tr>
        <w:tc>
          <w:tcPr/>
          <w:p>
            <w:pPr>
              <w:pStyle w:val="Compact"/>
            </w:pPr>
            <w:r>
              <w:t xml:space="preserve">Each US$</w:t>
            </w:r>
            <w:r>
              <w:rPr>
                <w:rStyle w:val="VerbatimChar"/>
              </w:rPr>
              <w:t xml:space="preserve">[X]</w:t>
            </w:r>
            <w:r>
              <w:t xml:space="preserve"> </w:t>
            </w:r>
            <w:r>
              <w:t xml:space="preserve">of Committed Orders</w:t>
            </w:r>
          </w:p>
        </w:tc>
        <w:tc>
          <w:tcPr/>
          <w:p>
            <w:pPr>
              <w:pStyle w:val="Compact"/>
            </w:pPr>
            <w:r>
              <w:rPr>
                <w:rStyle w:val="VerbatimChar"/>
              </w:rPr>
              <w:t xml:space="preserve">[N]</w:t>
            </w:r>
            <w:r>
              <w:t xml:space="preserve"> </w:t>
            </w:r>
            <w:r>
              <w:t xml:space="preserve">units</w:t>
            </w:r>
          </w:p>
        </w:tc>
      </w:tr>
    </w:tbl>
    <w:p>
      <w:pPr>
        <w:pStyle w:val="BodyText"/>
      </w:pPr>
      <w:r>
        <w:t xml:space="preserve">Aggregate cap:</w:t>
      </w:r>
      <w:r>
        <w:t xml:space="preserve"> </w:t>
      </w:r>
      <w:r>
        <w:rPr>
          <w:rStyle w:val="VerbatimChar"/>
        </w:rPr>
        <w:t xml:space="preserve">[__]</w:t>
      </w:r>
      <w:r>
        <w:t xml:space="preserve"> </w:t>
      </w:r>
      <w:r>
        <w:t xml:space="preserve">Sample units per calendar year.</w:t>
      </w:r>
      <w:r>
        <w:t xml:space="preserve"> </w:t>
      </w:r>
      <w:r>
        <w:t xml:space="preserve">Per-account cap:</w:t>
      </w:r>
      <w:r>
        <w:t xml:space="preserve"> </w:t>
      </w:r>
      <w:r>
        <w:rPr>
          <w:rStyle w:val="VerbatimChar"/>
        </w:rPr>
        <w:t xml:space="preserve">[__]</w:t>
      </w:r>
      <w:r>
        <w:t xml:space="preserve"> </w:t>
      </w:r>
      <w:r>
        <w:t xml:space="preserve">Sample units per customer per calendar year.</w:t>
      </w:r>
    </w:p>
    <w:bookmarkEnd w:id="90"/>
    <w:bookmarkStart w:id="91" w:name="g.2-case-by-case-samples"/>
    <w:p>
      <w:pPr>
        <w:pStyle w:val="Heading2"/>
      </w:pPr>
      <w:r>
        <w:t xml:space="preserve">G.2 Case-by-Case Samples</w:t>
      </w:r>
    </w:p>
    <w:p>
      <w:pPr>
        <w:pStyle w:val="FirstParagraph"/>
      </w:pPr>
      <w:r>
        <w:t xml:space="preserve">Additional Samples may be requested through the Portal with a written justification. Approval is at MADE’s sole discretion.</w:t>
      </w:r>
      <w:r>
        <w:t xml:space="preserve"> </w:t>
      </w:r>
      <w:r>
        <w:rPr>
          <w:b/>
          <w:bCs/>
        </w:rPr>
        <w:t xml:space="preserve">The sampling programme is a discretionary commercial accommodation, not an entitlement (Section 25.2).</w:t>
      </w:r>
    </w:p>
    <w:bookmarkEnd w:id="91"/>
    <w:bookmarkStart w:id="92" w:name="g.3-controls-section-25"/>
    <w:p>
      <w:pPr>
        <w:pStyle w:val="Heading2"/>
      </w:pPr>
      <w:r>
        <w:t xml:space="preserve">G.3 Controls (Section 25)</w:t>
      </w:r>
    </w:p>
    <w:p>
      <w:pPr>
        <w:pStyle w:val="Compact"/>
        <w:numPr>
          <w:ilvl w:val="0"/>
          <w:numId w:val="1024"/>
        </w:numPr>
      </w:pPr>
      <w:r>
        <w:rPr>
          <w:b/>
          <w:bCs/>
        </w:rPr>
        <w:t xml:space="preserve">Written request</w:t>
      </w:r>
      <w:r>
        <w:t xml:space="preserve"> </w:t>
      </w:r>
      <w:r>
        <w:t xml:space="preserve">from the receiving account and a</w:t>
      </w:r>
      <w:r>
        <w:t xml:space="preserve"> </w:t>
      </w:r>
      <w:r>
        <w:rPr>
          <w:b/>
          <w:bCs/>
        </w:rPr>
        <w:t xml:space="preserve">signed receipt</w:t>
      </w:r>
      <w:r>
        <w:t xml:space="preserve"> </w:t>
      </w:r>
      <w:r>
        <w:t xml:space="preserve">for every Sample shipment.</w:t>
      </w:r>
    </w:p>
    <w:p>
      <w:pPr>
        <w:pStyle w:val="Compact"/>
        <w:numPr>
          <w:ilvl w:val="0"/>
          <w:numId w:val="1024"/>
        </w:numPr>
      </w:pPr>
      <w:r>
        <w:t xml:space="preserve">Samples labelled</w:t>
      </w:r>
      <w:r>
        <w:t xml:space="preserve"> </w:t>
      </w:r>
      <w:r>
        <w:t xml:space="preserve">“</w:t>
      </w:r>
      <w:r>
        <w:rPr>
          <w:b/>
          <w:bCs/>
        </w:rPr>
        <w:t xml:space="preserve">SAMPLE — NOT FOR RESALE</w:t>
      </w:r>
      <w:r>
        <w:t xml:space="preserve">”</w:t>
      </w:r>
      <w:r>
        <w:t xml:space="preserve"> </w:t>
      </w:r>
      <w:r>
        <w:t xml:space="preserve">in addition to the RUO Legend.</w:t>
      </w:r>
    </w:p>
    <w:p>
      <w:pPr>
        <w:pStyle w:val="Compact"/>
        <w:numPr>
          <w:ilvl w:val="0"/>
          <w:numId w:val="1024"/>
        </w:numPr>
      </w:pPr>
      <w:r>
        <w:rPr>
          <w:b/>
          <w:bCs/>
        </w:rPr>
        <w:t xml:space="preserve">No sale, purchase, trade, or barter of Samples</w:t>
      </w:r>
      <w:r>
        <w:t xml:space="preserve">, in any circumstances.</w:t>
      </w:r>
    </w:p>
    <w:p>
      <w:pPr>
        <w:pStyle w:val="Compact"/>
        <w:numPr>
          <w:ilvl w:val="0"/>
          <w:numId w:val="1024"/>
        </w:numPr>
      </w:pPr>
      <w:r>
        <w:rPr>
          <w:b/>
          <w:bCs/>
        </w:rPr>
        <w:t xml:space="preserve">No Sample supplied for any Prohibited Clinical Use.</w:t>
      </w:r>
    </w:p>
    <w:p>
      <w:pPr>
        <w:pStyle w:val="Compact"/>
        <w:numPr>
          <w:ilvl w:val="0"/>
          <w:numId w:val="1024"/>
        </w:numPr>
      </w:pPr>
      <w:r>
        <w:t xml:space="preserve">Lot-level records of Samples received, held, and distributed;</w:t>
      </w:r>
      <w:r>
        <w:t xml:space="preserve"> </w:t>
      </w:r>
      <w:r>
        <w:rPr>
          <w:b/>
          <w:bCs/>
        </w:rPr>
        <w:t xml:space="preserve">quarterly reconciliation</w:t>
      </w:r>
      <w:r>
        <w:t xml:space="preserve">; records available for audit.</w:t>
      </w:r>
    </w:p>
    <w:p>
      <w:pPr>
        <w:pStyle w:val="Compact"/>
        <w:numPr>
          <w:ilvl w:val="0"/>
          <w:numId w:val="1024"/>
        </w:numPr>
      </w:pPr>
      <w:r>
        <w:t xml:space="preserve">Samples do</w:t>
      </w:r>
      <w:r>
        <w:t xml:space="preserve"> </w:t>
      </w:r>
      <w:r>
        <w:rPr>
          <w:b/>
          <w:bCs/>
        </w:rPr>
        <w:t xml:space="preserve">not</w:t>
      </w:r>
      <w:r>
        <w:t xml:space="preserve"> </w:t>
      </w:r>
      <w:r>
        <w:t xml:space="preserve">count toward the Minimum Purchase Commitment or Qualifying Units.</w:t>
      </w:r>
    </w:p>
    <w:p>
      <w:pPr>
        <w:pStyle w:val="Compact"/>
        <w:numPr>
          <w:ilvl w:val="0"/>
          <w:numId w:val="1024"/>
        </w:numPr>
      </w:pPr>
      <w:r>
        <w:t xml:space="preserve">Samples are supplied</w:t>
      </w:r>
      <w:r>
        <w:t xml:space="preserve"> </w:t>
      </w:r>
      <w:r>
        <w:rPr>
          <w:b/>
          <w:bCs/>
        </w:rPr>
        <w:t xml:space="preserve">“AS IS”</w:t>
      </w:r>
      <w:r>
        <w:t xml:space="preserve">, without warranty (Section 32.4).</w:t>
      </w:r>
    </w:p>
    <w:bookmarkEnd w:id="92"/>
    <w:bookmarkStart w:id="93" w:name="g.4-abuse-tripwire-section-25.6"/>
    <w:p>
      <w:pPr>
        <w:pStyle w:val="Heading2"/>
      </w:pPr>
      <w:r>
        <w:t xml:space="preserve">G.4 Abuse Tripwire (Section 25.6)</w:t>
      </w:r>
    </w:p>
    <w:p>
      <w:pPr>
        <w:pStyle w:val="FirstParagraph"/>
      </w:pPr>
      <w:r>
        <w:t xml:space="preserve">MADE monitors Sample-to-order ratios. The following are treated as red flags entitling MADE to suspend or terminate the sampling programme immediately, to require return or documented destruction of Samples, and to treat the pattern as a</w:t>
      </w:r>
      <w:r>
        <w:t xml:space="preserve"> </w:t>
      </w:r>
      <w:r>
        <w:rPr>
          <w:b/>
          <w:bCs/>
        </w:rPr>
        <w:t xml:space="preserve">material breach</w:t>
      </w:r>
      <w:r>
        <w:t xml:space="preserve">:</w:t>
      </w:r>
    </w:p>
    <w:p>
      <w:pPr>
        <w:pStyle w:val="Compact"/>
        <w:numPr>
          <w:ilvl w:val="0"/>
          <w:numId w:val="1025"/>
        </w:numPr>
      </w:pPr>
      <w:r>
        <w:t xml:space="preserve">Sample volume disproportionate to Committed Orders (e.g. exceeding</w:t>
      </w:r>
      <w:r>
        <w:t xml:space="preserve"> </w:t>
      </w:r>
      <w:r>
        <w:rPr>
          <w:rStyle w:val="VerbatimChar"/>
        </w:rPr>
        <w:t xml:space="preserve">[__]</w:t>
      </w:r>
      <w:r>
        <w:t xml:space="preserve">% of paid units);</w:t>
      </w:r>
    </w:p>
    <w:p>
      <w:pPr>
        <w:pStyle w:val="Compact"/>
        <w:numPr>
          <w:ilvl w:val="0"/>
          <w:numId w:val="1025"/>
        </w:numPr>
      </w:pPr>
      <w:r>
        <w:t xml:space="preserve">sudden or unexplained spikes in Sample requests;</w:t>
      </w:r>
    </w:p>
    <w:p>
      <w:pPr>
        <w:pStyle w:val="Compact"/>
        <w:numPr>
          <w:ilvl w:val="0"/>
          <w:numId w:val="1025"/>
        </w:numPr>
      </w:pPr>
      <w:r>
        <w:t xml:space="preserve">concentration of Samples in a small number of accounts;</w:t>
      </w:r>
    </w:p>
    <w:p>
      <w:pPr>
        <w:pStyle w:val="Compact"/>
        <w:numPr>
          <w:ilvl w:val="0"/>
          <w:numId w:val="1025"/>
        </w:numPr>
      </w:pPr>
      <w:r>
        <w:t xml:space="preserve">Samples requested for accounts that place no subsequent order;</w:t>
      </w:r>
    </w:p>
    <w:p>
      <w:pPr>
        <w:pStyle w:val="Compact"/>
        <w:numPr>
          <w:ilvl w:val="0"/>
          <w:numId w:val="1025"/>
        </w:numPr>
      </w:pPr>
      <w:r>
        <w:t xml:space="preserve">any evidence of resale, barter, or diversion of Samples;</w:t>
      </w:r>
    </w:p>
    <w:p>
      <w:pPr>
        <w:pStyle w:val="Compact"/>
        <w:numPr>
          <w:ilvl w:val="0"/>
          <w:numId w:val="1025"/>
        </w:numPr>
      </w:pPr>
      <w:r>
        <w:t xml:space="preserve">Samples shipped to a clinic, treatment centre, or residential address.</w:t>
      </w:r>
    </w:p>
    <w:bookmarkEnd w:id="93"/>
    <w:bookmarkStart w:id="94" w:name="g.5-prohibition-on-improper-use"/>
    <w:p>
      <w:pPr>
        <w:pStyle w:val="Heading2"/>
      </w:pPr>
      <w:r>
        <w:t xml:space="preserve">G.5 Prohibition on Improper Use</w:t>
      </w:r>
    </w:p>
    <w:p>
      <w:pPr>
        <w:pStyle w:val="FirstParagraph"/>
      </w:pPr>
      <w:r>
        <w:rPr>
          <w:b/>
          <w:bCs/>
        </w:rPr>
        <w:t xml:space="preserve">Samples are not consideration for, and are not conditioned upon, any referral, purchase, order, prescription, or recommendation by any customer, and in particular by any government, state-hospital, publicly funded, or reimbursed customer (Section 25.3, Section 36.2(d)).</w:t>
      </w:r>
    </w:p>
    <w:p>
      <w:r>
        <w:pict>
          <v:rect style="width:0;height:1.5pt" o:hralign="center" o:hrstd="t" o:hr="t"/>
        </w:pict>
      </w:r>
    </w:p>
    <w:bookmarkEnd w:id="94"/>
    <w:bookmarkEnd w:id="95"/>
    <w:bookmarkStart w:id="102" w:name="Xa316ffb6aa83d49299b9433c1bf7c87dd3206a6"/>
    <w:p>
      <w:pPr>
        <w:pStyle w:val="Heading1"/>
      </w:pPr>
      <w:r>
        <w:t xml:space="preserve">SCHEDULE H — TRADEMARK LICENCE, CUSTOM LABELING AND WHITE LABEL</w:t>
      </w:r>
    </w:p>
    <w:bookmarkStart w:id="96" w:name="h.1-licensed-marks"/>
    <w:p>
      <w:pPr>
        <w:pStyle w:val="Heading2"/>
      </w:pPr>
      <w:r>
        <w:t xml:space="preserve">H.1 Licensed Marks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MADE Marks licensed to Distributor</w:t>
            </w:r>
          </w:p>
        </w:tc>
        <w:tc>
          <w:tcPr/>
          <w:p>
            <w:pPr>
              <w:pStyle w:val="Compact"/>
            </w:pPr>
            <w:r>
              <w:t xml:space="preserve">Distributor Marks licensed to MADE</w:t>
            </w:r>
          </w:p>
        </w:tc>
      </w:tr>
      <w:tr>
        <w:tc>
          <w:tcPr/>
          <w:p>
            <w:pPr>
              <w:pStyle w:val="Compact"/>
            </w:pPr>
            <w:r>
              <w:rPr>
                <w:rStyle w:val="VerbatimChar"/>
              </w:rPr>
              <w:t xml:space="preserve">[MADE SCIENTIFIC word mark; flask logomark]</w:t>
            </w:r>
          </w:p>
        </w:tc>
        <w:tc>
          <w:tcPr/>
          <w:p>
            <w:pPr>
              <w:pStyle w:val="Compact"/>
            </w:pPr>
            <w:r>
              <w:rPr>
                <w:rStyle w:val="VerbatimChar"/>
              </w:rPr>
              <w:t xml:space="preserve">[__]</w:t>
            </w:r>
          </w:p>
        </w:tc>
      </w:tr>
    </w:tbl>
    <w:bookmarkEnd w:id="96"/>
    <w:bookmarkStart w:id="97" w:name="h.2-service-tiers"/>
    <w:p>
      <w:pPr>
        <w:pStyle w:val="Heading2"/>
      </w:pPr>
      <w:r>
        <w:t xml:space="preserve">H.2 Service Tiers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Tier</w:t>
            </w:r>
          </w:p>
        </w:tc>
        <w:tc>
          <w:tcPr/>
          <w:p>
            <w:pPr>
              <w:pStyle w:val="Compact"/>
            </w:pPr>
            <w:r>
              <w:t xml:space="preserve">What it is</w:t>
            </w:r>
          </w:p>
        </w:tc>
        <w:tc>
          <w:tcPr/>
          <w:p>
            <w:pPr>
              <w:pStyle w:val="Compact"/>
            </w:pPr>
            <w:r>
              <w:t xml:space="preserve">Minimum committed volume</w:t>
            </w:r>
          </w:p>
        </w:tc>
        <w:tc>
          <w:tcPr/>
          <w:p>
            <w:pPr>
              <w:pStyle w:val="Compact"/>
            </w:pPr>
            <w:r>
              <w:t xml:space="preserve">Charges</w:t>
            </w:r>
          </w:p>
        </w:tc>
      </w:tr>
      <w:tr>
        <w:tc>
          <w:tcPr/>
          <w:p>
            <w:pPr>
              <w:pStyle w:val="Compact"/>
            </w:pPr>
            <w:r>
              <w:rPr>
                <w:b/>
                <w:bCs/>
              </w:rPr>
              <w:t xml:space="preserve">Tier 1 — Standard</w:t>
            </w:r>
          </w:p>
        </w:tc>
        <w:tc>
          <w:tcPr/>
          <w:p>
            <w:pPr>
              <w:pStyle w:val="Compact"/>
            </w:pPr>
            <w:r>
              <w:t xml:space="preserve">MADE-branded label and packaging</w:t>
            </w:r>
          </w:p>
        </w:tc>
        <w:tc>
          <w:tcPr/>
          <w:p>
            <w:pPr>
              <w:pStyle w:val="Compact"/>
            </w:pPr>
            <w:r>
              <w:t xml:space="preserve">none</w:t>
            </w:r>
          </w:p>
        </w:tc>
        <w:tc>
          <w:tcPr/>
          <w:p>
            <w:pPr>
              <w:pStyle w:val="Compact"/>
            </w:pPr>
            <w:r>
              <w:t xml:space="preserve">none</w:t>
            </w:r>
          </w:p>
        </w:tc>
      </w:tr>
      <w:tr>
        <w:tc>
          <w:tcPr/>
          <w:p>
            <w:pPr>
              <w:pStyle w:val="Compact"/>
            </w:pPr>
            <w:r>
              <w:rPr>
                <w:b/>
                <w:bCs/>
              </w:rPr>
              <w:t xml:space="preserve">Tier 2 — Custom Labeling</w:t>
            </w:r>
          </w:p>
        </w:tc>
        <w:tc>
          <w:tcPr/>
          <w:p>
            <w:pPr>
              <w:pStyle w:val="Compact"/>
            </w:pPr>
            <w:r>
              <w:t xml:space="preserve">Primary label bears Distributor Marks alongside MADE identification</w:t>
            </w:r>
          </w:p>
        </w:tc>
        <w:tc>
          <w:tcPr/>
          <w:p>
            <w:pPr>
              <w:pStyle w:val="Compact"/>
            </w:pPr>
            <w:r>
              <w:rPr>
                <w:rStyle w:val="VerbatimChar"/>
              </w:rPr>
              <w:t xml:space="preserve">[__]</w:t>
            </w:r>
            <w:r>
              <w:t xml:space="preserve"> </w:t>
            </w:r>
            <w:r>
              <w:t xml:space="preserve">units per year</w:t>
            </w:r>
          </w:p>
        </w:tc>
        <w:tc>
          <w:tcPr/>
          <w:p>
            <w:pPr>
              <w:pStyle w:val="Compact"/>
            </w:pPr>
            <w:r>
              <w:t xml:space="preserve">artwork + plate + set-up</w:t>
            </w:r>
            <w:r>
              <w:t xml:space="preserve"> </w:t>
            </w:r>
            <w:r>
              <w:rPr>
                <w:rStyle w:val="VerbatimChar"/>
              </w:rPr>
              <w:t xml:space="preserve">[__]</w:t>
            </w:r>
          </w:p>
        </w:tc>
      </w:tr>
      <w:tr>
        <w:tc>
          <w:tcPr/>
          <w:p>
            <w:pPr>
              <w:pStyle w:val="Compact"/>
            </w:pPr>
            <w:r>
              <w:rPr>
                <w:b/>
                <w:bCs/>
              </w:rPr>
              <w:t xml:space="preserve">Tier 3 — White Label</w:t>
            </w:r>
          </w:p>
        </w:tc>
        <w:tc>
          <w:tcPr/>
          <w:p>
            <w:pPr>
              <w:pStyle w:val="Compact"/>
            </w:pPr>
            <w:r>
              <w:t xml:space="preserve">Secondary packaging bears Distributor Marks; neutral outer shipper</w:t>
            </w:r>
          </w:p>
        </w:tc>
        <w:tc>
          <w:tcPr/>
          <w:p>
            <w:pPr>
              <w:pStyle w:val="Compact"/>
            </w:pPr>
            <w:r>
              <w:rPr>
                <w:rStyle w:val="VerbatimChar"/>
              </w:rPr>
              <w:t xml:space="preserve">[__]</w:t>
            </w:r>
            <w:r>
              <w:t xml:space="preserve"> </w:t>
            </w:r>
            <w:r>
              <w:t xml:space="preserve">units per year</w:t>
            </w:r>
          </w:p>
        </w:tc>
        <w:tc>
          <w:tcPr/>
          <w:p>
            <w:pPr>
              <w:pStyle w:val="Compact"/>
            </w:pPr>
            <w:r>
              <w:t xml:space="preserve">artwork + set-up + MOQ</w:t>
            </w:r>
            <w:r>
              <w:t xml:space="preserve"> </w:t>
            </w:r>
            <w:r>
              <w:rPr>
                <w:rStyle w:val="VerbatimChar"/>
              </w:rPr>
              <w:t xml:space="preserve">[__]</w:t>
            </w:r>
          </w:p>
        </w:tc>
      </w:tr>
      <w:tr>
        <w:tc>
          <w:tcPr/>
          <w:p>
            <w:pPr>
              <w:pStyle w:val="Compact"/>
            </w:pPr>
            <w:r>
              <w:rPr>
                <w:b/>
                <w:bCs/>
              </w:rPr>
              <w:t xml:space="preserve">Tier 4 — Custom Configuration</w:t>
            </w:r>
          </w:p>
        </w:tc>
        <w:tc>
          <w:tcPr/>
          <w:p>
            <w:pPr>
              <w:pStyle w:val="Compact"/>
            </w:pPr>
            <w:r>
              <w:t xml:space="preserve">Custom vial, cryobag, fill volume, cell count, branded packaging</w:t>
            </w:r>
          </w:p>
        </w:tc>
        <w:tc>
          <w:tcPr/>
          <w:p>
            <w:pPr>
              <w:pStyle w:val="Compact"/>
            </w:pPr>
            <w:r>
              <w:t xml:space="preserve">per Change Order</w:t>
            </w:r>
          </w:p>
        </w:tc>
        <w:tc>
          <w:tcPr/>
          <w:p>
            <w:pPr>
              <w:pStyle w:val="Compact"/>
            </w:pPr>
            <w:r>
              <w:t xml:space="preserve">per Change Order (Section 27)</w:t>
            </w:r>
          </w:p>
        </w:tc>
      </w:tr>
    </w:tbl>
    <w:bookmarkEnd w:id="97"/>
    <w:bookmarkStart w:id="98" w:name="h.3-mandatory-label-content-all-tiers"/>
    <w:p>
      <w:pPr>
        <w:pStyle w:val="Heading2"/>
      </w:pPr>
      <w:r>
        <w:t xml:space="preserve">H.3 Mandatory Label Content (all tiers)</w:t>
      </w:r>
    </w:p>
    <w:p>
      <w:pPr>
        <w:pStyle w:val="FirstParagraph"/>
      </w:pPr>
      <w:r>
        <w:t xml:space="preserve">The following appear unaltered on every label and package, regardless of branding:</w:t>
      </w:r>
    </w:p>
    <w:p>
      <w:pPr>
        <w:pStyle w:val="Compact"/>
        <w:numPr>
          <w:ilvl w:val="0"/>
          <w:numId w:val="1026"/>
        </w:numPr>
      </w:pPr>
      <w:r>
        <w:rPr>
          <w:b/>
          <w:bCs/>
        </w:rPr>
        <w:t xml:space="preserve">RESEARCH USE ONLY — NOT FOR USE IN HUMANS OR ANIMALS</w:t>
      </w:r>
    </w:p>
    <w:p>
      <w:pPr>
        <w:pStyle w:val="Compact"/>
        <w:numPr>
          <w:ilvl w:val="0"/>
          <w:numId w:val="1026"/>
        </w:numPr>
      </w:pPr>
      <w:r>
        <w:t xml:space="preserve">Lot / batch number and expiry date</w:t>
      </w:r>
    </w:p>
    <w:p>
      <w:pPr>
        <w:pStyle w:val="Compact"/>
        <w:numPr>
          <w:ilvl w:val="0"/>
          <w:numId w:val="1026"/>
        </w:numPr>
      </w:pPr>
      <w:r>
        <w:t xml:space="preserve">Storage conditions</w:t>
      </w:r>
    </w:p>
    <w:p>
      <w:pPr>
        <w:pStyle w:val="Compact"/>
        <w:numPr>
          <w:ilvl w:val="0"/>
          <w:numId w:val="1026"/>
        </w:numPr>
      </w:pPr>
      <w:r>
        <w:t xml:space="preserve">All dangerous-goods marking required by Section 14</w:t>
      </w:r>
    </w:p>
    <w:p>
      <w:pPr>
        <w:pStyle w:val="Compact"/>
        <w:numPr>
          <w:ilvl w:val="0"/>
          <w:numId w:val="1026"/>
        </w:numPr>
      </w:pPr>
      <w:r>
        <w:rPr>
          <w:rStyle w:val="VerbatimChar"/>
        </w:rPr>
        <w:t xml:space="preserve">[Manufactured by Made Scientific, Inc., Princeton, NJ, USA]</w:t>
      </w:r>
      <w:r>
        <w:t xml:space="preserve"> </w:t>
      </w:r>
      <w:r>
        <w:rPr>
          <w:rStyle w:val="VerbatimChar"/>
        </w:rPr>
        <w:t xml:space="preserve">[/ "Manufactured for [Distributor]" — subject to MADE approval]</w:t>
      </w:r>
    </w:p>
    <w:bookmarkEnd w:id="98"/>
    <w:bookmarkStart w:id="99" w:name="h.4-artwork-approval-and-quality-control"/>
    <w:p>
      <w:pPr>
        <w:pStyle w:val="Heading2"/>
      </w:pPr>
      <w:r>
        <w:t xml:space="preserve">H.4 Artwork Approval and Quality Control</w:t>
      </w:r>
    </w:p>
    <w:p>
      <w:pPr>
        <w:pStyle w:val="Compact"/>
        <w:numPr>
          <w:ilvl w:val="0"/>
          <w:numId w:val="1027"/>
        </w:numPr>
      </w:pPr>
      <w:r>
        <w:t xml:space="preserve">Distributor submits artwork; MADE approves regulatory and mandatory content;</w:t>
      </w:r>
      <w:r>
        <w:t xml:space="preserve"> </w:t>
      </w:r>
      <w:r>
        <w:rPr>
          <w:b/>
          <w:bCs/>
        </w:rPr>
        <w:t xml:space="preserve">Distributor approves the quality and appearance of goods bearing the Distributor Marks</w:t>
      </w:r>
      <w:r>
        <w:t xml:space="preserve"> </w:t>
      </w:r>
      <w:r>
        <w:t xml:space="preserve">(Section 26.3).</w:t>
      </w:r>
    </w:p>
    <w:p>
      <w:pPr>
        <w:pStyle w:val="Compact"/>
        <w:numPr>
          <w:ilvl w:val="0"/>
          <w:numId w:val="1027"/>
        </w:numPr>
      </w:pPr>
      <w:r>
        <w:t xml:space="preserve">MADE produces a first article;</w:t>
      </w:r>
      <w:r>
        <w:t xml:space="preserve"> </w:t>
      </w:r>
      <w:r>
        <w:rPr>
          <w:b/>
          <w:bCs/>
        </w:rPr>
        <w:t xml:space="preserve">both Parties sign off before production</w:t>
      </w:r>
      <w:r>
        <w:t xml:space="preserve">.</w:t>
      </w:r>
    </w:p>
    <w:p>
      <w:pPr>
        <w:pStyle w:val="Compact"/>
        <w:numPr>
          <w:ilvl w:val="0"/>
          <w:numId w:val="1027"/>
        </w:numPr>
      </w:pPr>
      <w:r>
        <w:t xml:space="preserve">Artwork lead time:</w:t>
      </w:r>
      <w:r>
        <w:t xml:space="preserve"> </w:t>
      </w:r>
      <w:r>
        <w:rPr>
          <w:rStyle w:val="VerbatimChar"/>
        </w:rPr>
        <w:t xml:space="preserve">[__]</w:t>
      </w:r>
      <w:r>
        <w:t xml:space="preserve"> </w:t>
      </w:r>
      <w:r>
        <w:t xml:space="preserve">Business Days. Change requests reset the lead time.</w:t>
      </w:r>
    </w:p>
    <w:p>
      <w:pPr>
        <w:pStyle w:val="Compact"/>
        <w:numPr>
          <w:ilvl w:val="0"/>
          <w:numId w:val="1027"/>
        </w:numPr>
      </w:pPr>
      <w:r>
        <w:t xml:space="preserve">Distributor may inspect, on reasonable notice, MADE’s labelling operations for goods bearing the Distributor Marks, so as to exercise the quality control its trademark rights require.</w:t>
      </w:r>
    </w:p>
    <w:p>
      <w:pPr>
        <w:pStyle w:val="Compact"/>
        <w:numPr>
          <w:ilvl w:val="0"/>
          <w:numId w:val="1027"/>
        </w:numPr>
      </w:pPr>
      <w:r>
        <w:t xml:space="preserve">MADE may inspect and approve all Distributor materials bearing the MADE Marks (Section 26.2).</w:t>
      </w:r>
    </w:p>
    <w:bookmarkEnd w:id="99"/>
    <w:bookmarkStart w:id="100" w:name="h.5-risk-allocation"/>
    <w:p>
      <w:pPr>
        <w:pStyle w:val="Heading2"/>
      </w:pPr>
      <w:r>
        <w:t xml:space="preserve">H.5 Risk Allocation</w:t>
      </w:r>
    </w:p>
    <w:p>
      <w:pPr>
        <w:pStyle w:val="FirstParagraph"/>
      </w:pPr>
      <w:r>
        <w:rPr>
          <w:b/>
          <w:bCs/>
        </w:rPr>
        <w:t xml:space="preserve">Distributor acknowledges that placing the Distributor Marks on a Product or its packaging may render Distributor an apparent manufacturer of that Product at law, with manufacturer-level product liability, and that Distributor’s indemnity under Section 34.2(e) extends to all Losses arising from the presence of the Distributor Marks.</w:t>
      </w:r>
    </w:p>
    <w:bookmarkEnd w:id="100"/>
    <w:bookmarkStart w:id="101" w:name="h.6-on-termination"/>
    <w:p>
      <w:pPr>
        <w:pStyle w:val="Heading2"/>
      </w:pPr>
      <w:r>
        <w:t xml:space="preserve">H.6 On Termination</w:t>
      </w:r>
    </w:p>
    <w:p>
      <w:pPr>
        <w:pStyle w:val="FirstParagraph"/>
      </w:pPr>
      <w:r>
        <w:t xml:space="preserve">Custom-labelled, White Label, and Distributor-branded inventory, labels, artwork, and tooling are</w:t>
      </w:r>
      <w:r>
        <w:t xml:space="preserve"> </w:t>
      </w:r>
      <w:r>
        <w:rPr>
          <w:b/>
          <w:bCs/>
        </w:rPr>
        <w:t xml:space="preserve">Distributor’s to purchase at cost and destroy</w:t>
      </w:r>
      <w:r>
        <w:t xml:space="preserve"> </w:t>
      </w:r>
      <w:r>
        <w:t xml:space="preserve">(Sections 26.8, 39.4). MADE is not obliged to repurchase them.</w:t>
      </w:r>
    </w:p>
    <w:p>
      <w:r>
        <w:pict>
          <v:rect style="width:0;height:1.5pt" o:hralign="center" o:hrstd="t" o:hr="t"/>
        </w:pict>
      </w:r>
    </w:p>
    <w:bookmarkEnd w:id="101"/>
    <w:bookmarkEnd w:id="102"/>
    <w:bookmarkStart w:id="110" w:name="X04e9351c504e24752eec7c80a0fcf246f7933e6"/>
    <w:p>
      <w:pPr>
        <w:pStyle w:val="Heading1"/>
      </w:pPr>
      <w:r>
        <w:t xml:space="preserve">SCHEDULE I — ACCOUNTS AND CONTACTS DATABASE LICENCE; DATA PROTECTION</w:t>
      </w:r>
    </w:p>
    <w:bookmarkStart w:id="103" w:name="i.1-scope-of-access"/>
    <w:p>
      <w:pPr>
        <w:pStyle w:val="Heading2"/>
      </w:pPr>
      <w:r>
        <w:t xml:space="preserve">I.1 Scope of Access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Value</w:t>
            </w:r>
          </w:p>
        </w:tc>
      </w:tr>
      <w:tr>
        <w:tc>
          <w:tcPr/>
          <w:p>
            <w:pPr>
              <w:pStyle w:val="Compact"/>
            </w:pPr>
            <w:r>
              <w:t xml:space="preserve">Records licensed</w:t>
            </w:r>
          </w:p>
        </w:tc>
        <w:tc>
          <w:tcPr/>
          <w:p>
            <w:pPr>
              <w:pStyle w:val="Compact"/>
            </w:pPr>
            <w:r>
              <w:rPr>
                <w:rStyle w:val="VerbatimChar"/>
              </w:rPr>
              <w:t xml:space="preserve">[accounts and contacts within the Territory only]</w:t>
            </w:r>
          </w:p>
        </w:tc>
      </w:tr>
      <w:tr>
        <w:tc>
          <w:tcPr/>
          <w:p>
            <w:pPr>
              <w:pStyle w:val="Compact"/>
            </w:pPr>
            <w:r>
              <w:t xml:space="preserve">Access method</w:t>
            </w:r>
          </w:p>
        </w:tc>
        <w:tc>
          <w:tcPr/>
          <w:p>
            <w:pPr>
              <w:pStyle w:val="Compact"/>
            </w:pPr>
            <w:r>
              <w:rPr>
                <w:rStyle w:val="VerbatimChar"/>
              </w:rPr>
              <w:t xml:space="preserve">[Portal / read-only export]</w:t>
            </w:r>
          </w:p>
        </w:tc>
      </w:tr>
      <w:tr>
        <w:tc>
          <w:tcPr/>
          <w:p>
            <w:pPr>
              <w:pStyle w:val="Compact"/>
            </w:pPr>
            <w:r>
              <w:t xml:space="preserve">Named authorised users</w:t>
            </w:r>
          </w:p>
        </w:tc>
        <w:tc>
          <w:tcPr/>
          <w:p>
            <w:pPr>
              <w:pStyle w:val="Compact"/>
            </w:pPr>
            <w:r>
              <w:rPr>
                <w:rStyle w:val="VerbatimChar"/>
              </w:rPr>
              <w:t xml:space="preserve">[__]</w:t>
            </w:r>
            <w:r>
              <w:t xml:space="preserve"> </w:t>
            </w:r>
            <w:r>
              <w:t xml:space="preserve">(Distributor shall notify MADE of changes within 5 Business Days)</w:t>
            </w:r>
          </w:p>
        </w:tc>
      </w:tr>
      <w:tr>
        <w:tc>
          <w:tcPr/>
          <w:p>
            <w:pPr>
              <w:pStyle w:val="Compact"/>
            </w:pPr>
            <w:r>
              <w:t xml:space="preserve">Permitted Purpose</w:t>
            </w:r>
          </w:p>
        </w:tc>
        <w:tc>
          <w:tcPr/>
          <w:p>
            <w:pPr>
              <w:pStyle w:val="Compact"/>
            </w:pPr>
            <w:r>
              <w:t xml:space="preserve">marketing and selling the Products in the Territory during the Term</w:t>
            </w:r>
          </w:p>
        </w:tc>
      </w:tr>
    </w:tbl>
    <w:bookmarkEnd w:id="103"/>
    <w:bookmarkStart w:id="104" w:name="i.2-lead-ownership"/>
    <w:p>
      <w:pPr>
        <w:pStyle w:val="Heading2"/>
      </w:pPr>
      <w:r>
        <w:t xml:space="preserve">I.2 Lead Ownership</w:t>
      </w:r>
    </w:p>
    <w:p>
      <w:pPr>
        <w:pStyle w:val="Compact"/>
        <w:numPr>
          <w:ilvl w:val="0"/>
          <w:numId w:val="1028"/>
        </w:numPr>
      </w:pPr>
      <w:r>
        <w:rPr>
          <w:b/>
          <w:bCs/>
        </w:rPr>
        <w:t xml:space="preserve">MADE owns</w:t>
      </w:r>
      <w:r>
        <w:t xml:space="preserve"> </w:t>
      </w:r>
      <w:r>
        <w:t xml:space="preserve">all account and contact data in the Database, and all data relating to any account or contact that purchases or enquires about a Product, whether originated by MADE or by Distributor.</w:t>
      </w:r>
    </w:p>
    <w:p>
      <w:pPr>
        <w:pStyle w:val="Compact"/>
        <w:numPr>
          <w:ilvl w:val="0"/>
          <w:numId w:val="1028"/>
        </w:numPr>
      </w:pPr>
      <w:r>
        <w:rPr>
          <w:b/>
          <w:bCs/>
        </w:rPr>
        <w:t xml:space="preserve">Distributor retains</w:t>
      </w:r>
      <w:r>
        <w:t xml:space="preserve"> </w:t>
      </w:r>
      <w:r>
        <w:t xml:space="preserve">its own self-originated general business contacts that do not relate to the Products.</w:t>
      </w:r>
    </w:p>
    <w:p>
      <w:pPr>
        <w:pStyle w:val="Compact"/>
        <w:numPr>
          <w:ilvl w:val="0"/>
          <w:numId w:val="1028"/>
        </w:numPr>
      </w:pPr>
      <w:r>
        <w:t xml:space="preserve">On termination, Distributor returns or destroys all MADE-owned data and certifies deletion (Section 28.4).</w:t>
      </w:r>
    </w:p>
    <w:bookmarkEnd w:id="104"/>
    <w:bookmarkStart w:id="105" w:name="i.3-prohibited-acts"/>
    <w:p>
      <w:pPr>
        <w:pStyle w:val="Heading2"/>
      </w:pPr>
      <w:r>
        <w:t xml:space="preserve">I.3 Prohibited Acts</w:t>
      </w:r>
    </w:p>
    <w:p>
      <w:pPr>
        <w:pStyle w:val="FirstParagraph"/>
      </w:pPr>
      <w:r>
        <w:t xml:space="preserve">No resale, sub-licensing, disclosure, publication, bulk export, scraping, indexing, enrichment, derivative database, reverse engineering of structure, or use beyond the Permitted Purpose (Section 28.2).</w:t>
      </w:r>
    </w:p>
    <w:bookmarkEnd w:id="105"/>
    <w:bookmarkStart w:id="106" w:name="i.4-seed-records"/>
    <w:p>
      <w:pPr>
        <w:pStyle w:val="Heading2"/>
      </w:pPr>
      <w:r>
        <w:t xml:space="preserve">I.4 Seed Records</w:t>
      </w:r>
    </w:p>
    <w:p>
      <w:pPr>
        <w:pStyle w:val="FirstParagraph"/>
      </w:pPr>
      <w:r>
        <w:t xml:space="preserve">Distributor acknowledges that MADE</w:t>
      </w:r>
      <w:r>
        <w:t xml:space="preserve"> </w:t>
      </w:r>
      <w:r>
        <w:rPr>
          <w:b/>
          <w:bCs/>
        </w:rPr>
        <w:t xml:space="preserve">may embed traceable seed or decoy records</w:t>
      </w:r>
      <w:r>
        <w:t xml:space="preserve"> </w:t>
      </w:r>
      <w:r>
        <w:t xml:space="preserve">in the Database for the purpose of detecting unauthorised extraction or use, and waives any objection to their use as evidence.</w:t>
      </w:r>
    </w:p>
    <w:bookmarkEnd w:id="106"/>
    <w:bookmarkStart w:id="107" w:name="i.5-legal-basis-of-protection"/>
    <w:p>
      <w:pPr>
        <w:pStyle w:val="Heading2"/>
      </w:pPr>
      <w:r>
        <w:t xml:space="preserve">I.5 Legal Basis of Protection</w:t>
      </w:r>
    </w:p>
    <w:p>
      <w:pPr>
        <w:pStyle w:val="FirstParagraph"/>
      </w:pPr>
      <w:r>
        <w:t xml:space="preserve">The Database is protected as (a) a</w:t>
      </w:r>
      <w:r>
        <w:t xml:space="preserve"> </w:t>
      </w:r>
      <w:r>
        <w:rPr>
          <w:b/>
          <w:bCs/>
        </w:rPr>
        <w:t xml:space="preserve">trade secret</w:t>
      </w:r>
      <w:r>
        <w:t xml:space="preserve"> </w:t>
      </w:r>
      <w:r>
        <w:t xml:space="preserve">under the Defend Trade Secrets Act, 18 U.S.C. § 1836</w:t>
      </w:r>
      <w:r>
        <w:t xml:space="preserve"> </w:t>
      </w:r>
      <w:r>
        <w:rPr>
          <w:i/>
          <w:iCs/>
        </w:rPr>
        <w:t xml:space="preserve">et seq.</w:t>
      </w:r>
      <w:r>
        <w:t xml:space="preserve">, and applicable state law; (b) a</w:t>
      </w:r>
      <w:r>
        <w:t xml:space="preserve"> </w:t>
      </w:r>
      <w:r>
        <w:rPr>
          <w:b/>
          <w:bCs/>
        </w:rPr>
        <w:t xml:space="preserve">trade secret</w:t>
      </w:r>
      <w:r>
        <w:t xml:space="preserve"> </w:t>
      </w:r>
      <w:r>
        <w:t xml:space="preserve">under Directive (EU) 2016/943 where applicable; and (c) a</w:t>
      </w:r>
      <w:r>
        <w:t xml:space="preserve"> </w:t>
      </w:r>
      <w:r>
        <w:rPr>
          <w:b/>
          <w:bCs/>
        </w:rPr>
        <w:t xml:space="preserve">database</w:t>
      </w:r>
      <w:r>
        <w:t xml:space="preserve"> </w:t>
      </w:r>
      <w:r>
        <w:t xml:space="preserve">in which MADE holds the</w:t>
      </w:r>
      <w:r>
        <w:t xml:space="preserve"> </w:t>
      </w:r>
      <w:r>
        <w:rPr>
          <w:i/>
          <w:iCs/>
        </w:rPr>
        <w:t xml:space="preserve">sui generis</w:t>
      </w:r>
      <w:r>
        <w:t xml:space="preserve"> </w:t>
      </w:r>
      <w:r>
        <w:t xml:space="preserve">right under Directive 96/9/EC where applicable. Distributor’s obligations under Section 28 constitute part of the reasonable measures by which MADE preserves that protection.</w:t>
      </w:r>
    </w:p>
    <w:bookmarkEnd w:id="107"/>
    <w:bookmarkStart w:id="108" w:name="X6753a390285680293091634c88586b6ce49f5e2"/>
    <w:p>
      <w:pPr>
        <w:pStyle w:val="Heading2"/>
      </w:pPr>
      <w:r>
        <w:t xml:space="preserve">I.6 Data Protection — Independent Controllers</w:t>
      </w:r>
    </w:p>
    <w:p>
      <w:pPr>
        <w:pStyle w:val="FirstParagraph"/>
      </w:pPr>
      <w:r>
        <w:rPr>
          <w:b/>
          <w:bCs/>
        </w:rPr>
        <w:t xml:space="preserve">I.6.1 Roles.</w:t>
      </w:r>
      <w:r>
        <w:t xml:space="preserve"> </w:t>
      </w:r>
      <w:r>
        <w:t xml:space="preserve">In respect of personal data contained in the Database, MADE and Distributor each act as</w:t>
      </w:r>
      <w:r>
        <w:t xml:space="preserve"> </w:t>
      </w:r>
      <w:r>
        <w:rPr>
          <w:b/>
          <w:bCs/>
        </w:rPr>
        <w:t xml:space="preserve">independent controllers</w:t>
      </w:r>
      <w:r>
        <w:t xml:space="preserve">, and each is responsible for its own compliance with applicable Data Protection Laws, including Regulation (EU) 2016/679 (EU GDPR), the UK GDPR and Data Protection Act 2018, and the California Consumer Privacy Act as amended by the CPRA.</w:t>
      </w:r>
    </w:p>
    <w:p>
      <w:pPr>
        <w:pStyle w:val="BodyText"/>
      </w:pPr>
      <w:r>
        <w:rPr>
          <w:b/>
          <w:bCs/>
        </w:rPr>
        <w:t xml:space="preserve">I.6.2 Lawful basis and transparency.</w:t>
      </w:r>
      <w:r>
        <w:t xml:space="preserve"> </w:t>
      </w:r>
      <w:r>
        <w:t xml:space="preserve">MADE has determined and documented its lawful basis for the initial disclosure (legitimate interests, Article 6(1)(f) GDPR, supported by a legitimate-interests assessment). Distributor shall, as controller, establish its own lawful basis, provide any</w:t>
      </w:r>
      <w:r>
        <w:t xml:space="preserve"> </w:t>
      </w:r>
      <w:r>
        <w:rPr>
          <w:b/>
          <w:bCs/>
        </w:rPr>
        <w:t xml:space="preserve">Article 14</w:t>
      </w:r>
      <w:r>
        <w:t xml:space="preserve"> </w:t>
      </w:r>
      <w:r>
        <w:t xml:space="preserve">notice required where personal data is not obtained from the data subject, honour the</w:t>
      </w:r>
      <w:r>
        <w:t xml:space="preserve"> </w:t>
      </w:r>
      <w:r>
        <w:rPr>
          <w:b/>
          <w:bCs/>
        </w:rPr>
        <w:t xml:space="preserve">Article 21</w:t>
      </w:r>
      <w:r>
        <w:t xml:space="preserve"> </w:t>
      </w:r>
      <w:r>
        <w:t xml:space="preserve">right to object to direct marketing and all other data-subject rights, and comply with applicable ePrivacy and electronic-marketing rules.</w:t>
      </w:r>
    </w:p>
    <w:p>
      <w:pPr>
        <w:pStyle w:val="BodyText"/>
      </w:pPr>
      <w:r>
        <w:rPr>
          <w:b/>
          <w:bCs/>
        </w:rPr>
        <w:t xml:space="preserve">I.6.3 Purpose limitation; no onward transfer.</w:t>
      </w:r>
      <w:r>
        <w:t xml:space="preserve"> </w:t>
      </w:r>
      <w:r>
        <w:t xml:space="preserve">Distributor shall process the personal data only for the Permitted Purpose, shall not</w:t>
      </w:r>
      <w:r>
        <w:t xml:space="preserve"> </w:t>
      </w:r>
      <w:r>
        <w:t xml:space="preserve">“sell”</w:t>
      </w:r>
      <w:r>
        <w:t xml:space="preserve"> </w:t>
      </w:r>
      <w:r>
        <w:t xml:space="preserve">or</w:t>
      </w:r>
      <w:r>
        <w:t xml:space="preserve"> </w:t>
      </w:r>
      <w:r>
        <w:t xml:space="preserve">“share”</w:t>
      </w:r>
      <w:r>
        <w:t xml:space="preserve"> </w:t>
      </w:r>
      <w:r>
        <w:t xml:space="preserve">it as those terms are defined by the CCPA/CPRA, shall not transfer it onward except as expressly permitted, and shall comply with the contractual requirements of</w:t>
      </w:r>
      <w:r>
        <w:t xml:space="preserve"> </w:t>
      </w:r>
      <w:r>
        <w:rPr>
          <w:b/>
          <w:bCs/>
        </w:rPr>
        <w:t xml:space="preserve">Cal. Civ. Code § 1798.100(d)</w:t>
      </w:r>
      <w:r>
        <w:t xml:space="preserve">.</w:t>
      </w:r>
    </w:p>
    <w:p>
      <w:pPr>
        <w:pStyle w:val="BodyText"/>
      </w:pPr>
      <w:r>
        <w:rPr>
          <w:b/>
          <w:bCs/>
        </w:rPr>
        <w:t xml:space="preserve">I.6.4 International transfers.</w:t>
      </w:r>
      <w:r>
        <w:t xml:space="preserve"> </w:t>
      </w:r>
      <w:r>
        <w:t xml:space="preserve">For any transfer of personal data from the EEA or the UK to a country without an adequacy decision, the Parties incorporate the</w:t>
      </w:r>
      <w:r>
        <w:t xml:space="preserve"> </w:t>
      </w:r>
      <w:r>
        <w:rPr>
          <w:b/>
          <w:bCs/>
        </w:rPr>
        <w:t xml:space="preserve">Standard Contractual Clauses (Commission Implementing Decision (EU) 2021/914), Module One (controller-to-controller)</w:t>
      </w:r>
      <w:r>
        <w:t xml:space="preserve">, and, for UK data, the</w:t>
      </w:r>
      <w:r>
        <w:t xml:space="preserve"> </w:t>
      </w:r>
      <w:r>
        <w:rPr>
          <w:b/>
          <w:bCs/>
        </w:rPr>
        <w:t xml:space="preserve">UK International Data Transfer Addendum</w:t>
      </w:r>
      <w:r>
        <w:t xml:space="preserve">, which are executed as an integral part of this Agreement. The Parties shall complete the SCC annexes and a transfer impact assessment.</w:t>
      </w:r>
    </w:p>
    <w:p>
      <w:pPr>
        <w:pStyle w:val="BodyText"/>
      </w:pPr>
      <w:r>
        <w:rPr>
          <w:b/>
          <w:bCs/>
        </w:rPr>
        <w:t xml:space="preserve">I.6.5 Security; breach; deletion; cooperation.</w:t>
      </w:r>
      <w:r>
        <w:t xml:space="preserve"> </w:t>
      </w:r>
      <w:r>
        <w:t xml:space="preserve">Distributor shall implement measures meeting</w:t>
      </w:r>
      <w:r>
        <w:t xml:space="preserve"> </w:t>
      </w:r>
      <w:r>
        <w:rPr>
          <w:b/>
          <w:bCs/>
        </w:rPr>
        <w:t xml:space="preserve">Article 32 GDPR</w:t>
      </w:r>
      <w:r>
        <w:t xml:space="preserve">, notify MADE without undue delay and in any event within</w:t>
      </w:r>
      <w:r>
        <w:t xml:space="preserve"> </w:t>
      </w:r>
      <w:r>
        <w:rPr>
          <w:b/>
          <w:bCs/>
        </w:rPr>
        <w:t xml:space="preserve">48 hours</w:t>
      </w:r>
      <w:r>
        <w:t xml:space="preserve"> </w:t>
      </w:r>
      <w:r>
        <w:t xml:space="preserve">of any personal-data breach, assist with data-subject requests and regulator inquiries, delete or return the personal data on termination, and indemnify MADE under Section 28.7.</w:t>
      </w:r>
    </w:p>
    <w:bookmarkEnd w:id="108"/>
    <w:bookmarkStart w:id="109" w:name="i.7-scc-annex-placeholders"/>
    <w:p>
      <w:pPr>
        <w:pStyle w:val="Heading2"/>
      </w:pPr>
      <w:r>
        <w:t xml:space="preserve">I.7 SCC Annex Placeholders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Annex</w:t>
            </w:r>
          </w:p>
        </w:tc>
        <w:tc>
          <w:tcPr/>
          <w:p>
            <w:pPr>
              <w:pStyle w:val="Compact"/>
            </w:pPr>
            <w:r>
              <w:t xml:space="preserve">Content</w:t>
            </w:r>
          </w:p>
        </w:tc>
      </w:tr>
      <w:tr>
        <w:tc>
          <w:tcPr/>
          <w:p>
            <w:pPr>
              <w:pStyle w:val="Compact"/>
            </w:pPr>
            <w:r>
              <w:t xml:space="preserve">Annex I.A</w:t>
            </w:r>
          </w:p>
        </w:tc>
        <w:tc>
          <w:tcPr/>
          <w:p>
            <w:pPr>
              <w:pStyle w:val="Compact"/>
            </w:pPr>
            <w:r>
              <w:t xml:space="preserve">Parties, roles, contact details</w:t>
            </w:r>
          </w:p>
        </w:tc>
      </w:tr>
      <w:tr>
        <w:tc>
          <w:tcPr/>
          <w:p>
            <w:pPr>
              <w:pStyle w:val="Compact"/>
            </w:pPr>
            <w:r>
              <w:t xml:space="preserve">Annex I.B</w:t>
            </w:r>
          </w:p>
        </w:tc>
        <w:tc>
          <w:tcPr/>
          <w:p>
            <w:pPr>
              <w:pStyle w:val="Compact"/>
            </w:pPr>
            <w:r>
              <w:t xml:space="preserve">Categories of data subjects, categories of personal data, purposes, retention</w:t>
            </w:r>
          </w:p>
        </w:tc>
      </w:tr>
      <w:tr>
        <w:tc>
          <w:tcPr/>
          <w:p>
            <w:pPr>
              <w:pStyle w:val="Compact"/>
            </w:pPr>
            <w:r>
              <w:t xml:space="preserve">Annex I.C</w:t>
            </w:r>
          </w:p>
        </w:tc>
        <w:tc>
          <w:tcPr/>
          <w:p>
            <w:pPr>
              <w:pStyle w:val="Compact"/>
            </w:pPr>
            <w:r>
              <w:t xml:space="preserve">Competent supervisory authority</w:t>
            </w:r>
          </w:p>
        </w:tc>
      </w:tr>
      <w:tr>
        <w:tc>
          <w:tcPr/>
          <w:p>
            <w:pPr>
              <w:pStyle w:val="Compact"/>
            </w:pPr>
            <w:r>
              <w:t xml:space="preserve">Annex II</w:t>
            </w:r>
          </w:p>
        </w:tc>
        <w:tc>
          <w:tcPr/>
          <w:p>
            <w:pPr>
              <w:pStyle w:val="Compact"/>
            </w:pPr>
            <w:r>
              <w:t xml:space="preserve">Technical and organisational measures</w:t>
            </w:r>
          </w:p>
        </w:tc>
      </w:tr>
    </w:tbl>
    <w:p>
      <w:r>
        <w:pict>
          <v:rect style="width:0;height:1.5pt" o:hralign="center" o:hrstd="t" o:hr="t"/>
        </w:pict>
      </w:r>
    </w:p>
    <w:bookmarkEnd w:id="109"/>
    <w:bookmarkEnd w:id="110"/>
    <w:bookmarkStart w:id="112" w:name="X228758217a0940bb8735c4f9c4f82cc9fe2d396"/>
    <w:p>
      <w:pPr>
        <w:pStyle w:val="Heading1"/>
      </w:pPr>
      <w:r>
        <w:t xml:space="preserve">EXHIBIT 1 — COUNTRY RISK / DEALER-PROTECTION SCHEDULE</w:t>
      </w:r>
    </w:p>
    <w:p>
      <w:pPr>
        <w:pStyle w:val="BlockText"/>
      </w:pPr>
      <w:r>
        <w:rPr>
          <w:b/>
          <w:bCs/>
        </w:rPr>
        <w:t xml:space="preserve">Purpose.</w:t>
      </w:r>
      <w:r>
        <w:t xml:space="preserve"> </w:t>
      </w:r>
      <w:r>
        <w:t xml:space="preserve">Certain jurisdictions confer</w:t>
      </w:r>
      <w:r>
        <w:t xml:space="preserve"> </w:t>
      </w:r>
      <w:r>
        <w:rPr>
          <w:b/>
          <w:bCs/>
        </w:rPr>
        <w:t xml:space="preserve">non-waivable</w:t>
      </w:r>
      <w:r>
        <w:t xml:space="preserve"> </w:t>
      </w:r>
      <w:r>
        <w:t xml:space="preserve">rights on distributors and dealers — including just-cause requirements for termination and mandatory goodwill or clientele compensation — which</w:t>
      </w:r>
      <w:r>
        <w:t xml:space="preserve"> </w:t>
      </w:r>
      <w:r>
        <w:rPr>
          <w:b/>
          <w:bCs/>
        </w:rPr>
        <w:t xml:space="preserve">override a contractual choice of law and the waiver in Section 39.7</w:t>
      </w:r>
      <w:r>
        <w:t xml:space="preserve">. This Exhibit is an internal risk map.</w:t>
      </w:r>
      <w:r>
        <w:t xml:space="preserve"> </w:t>
      </w:r>
      <w:r>
        <w:rPr>
          <w:b/>
          <w:bCs/>
        </w:rPr>
        <w:t xml:space="preserve">Local counsel must be engaged before appointing a distributor in any 🔴 or 🟡 jurisdiction.</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Jurisdiction</w:t>
            </w:r>
          </w:p>
        </w:tc>
        <w:tc>
          <w:tcPr/>
          <w:p>
            <w:pPr>
              <w:pStyle w:val="Compact"/>
            </w:pPr>
            <w:r>
              <w:t xml:space="preserve">Regime</w:t>
            </w:r>
          </w:p>
        </w:tc>
        <w:tc>
          <w:tcPr/>
          <w:p>
            <w:pPr>
              <w:pStyle w:val="Compact"/>
            </w:pPr>
            <w:r>
              <w:t xml:space="preserve">Trigger</w:t>
            </w:r>
          </w:p>
        </w:tc>
        <w:tc>
          <w:tcPr/>
          <w:p>
            <w:pPr>
              <w:pStyle w:val="Compact"/>
            </w:pPr>
            <w:r>
              <w:t xml:space="preserve">Exposure</w:t>
            </w:r>
          </w:p>
        </w:tc>
        <w:tc>
          <w:tcPr/>
          <w:p>
            <w:pPr>
              <w:pStyle w:val="Compact"/>
            </w:pPr>
            <w:r>
              <w:t xml:space="preserve">Overrides choice of law?</w:t>
            </w:r>
          </w:p>
        </w:tc>
        <w:tc>
          <w:tcPr/>
          <w:p>
            <w:pPr>
              <w:pStyle w:val="Compact"/>
            </w:pPr>
            <w:r>
              <w:t xml:space="preserve">Flag</w:t>
            </w:r>
          </w:p>
        </w:tc>
      </w:tr>
      <w:tr>
        <w:tc>
          <w:tcPr/>
          <w:p>
            <w:pPr>
              <w:pStyle w:val="Compact"/>
            </w:pPr>
            <w:r>
              <w:rPr>
                <w:b/>
                <w:bCs/>
              </w:rPr>
              <w:t xml:space="preserve">Puerto Rico</w:t>
            </w:r>
          </w:p>
        </w:tc>
        <w:tc>
          <w:tcPr/>
          <w:p>
            <w:pPr>
              <w:pStyle w:val="Compact"/>
            </w:pPr>
            <w:r>
              <w:t xml:space="preserve">Dealers’ Contracts Act (</w:t>
            </w:r>
            <w:r>
              <w:t xml:space="preserve">“Law 75”</w:t>
            </w:r>
            <w:r>
              <w:t xml:space="preserve">), 10 L.P.R.A. § 278</w:t>
            </w:r>
          </w:p>
        </w:tc>
        <w:tc>
          <w:tcPr/>
          <w:p>
            <w:pPr>
              <w:pStyle w:val="Compact"/>
            </w:pPr>
            <w:r>
              <w:t xml:space="preserve">Any dealer with an established PR relationship</w:t>
            </w:r>
          </w:p>
        </w:tc>
        <w:tc>
          <w:tcPr/>
          <w:p>
            <w:pPr>
              <w:pStyle w:val="Compact"/>
            </w:pPr>
            <w:r>
              <w:t xml:space="preserve">Investments + unsellable inventory + goodwill +</w:t>
            </w:r>
            <w:r>
              <w:t xml:space="preserve"> </w:t>
            </w:r>
            <w:r>
              <w:rPr>
                <w:b/>
                <w:bCs/>
              </w:rPr>
              <w:t xml:space="preserve">~5 years of profit</w:t>
            </w:r>
          </w:p>
        </w:tc>
        <w:tc>
          <w:tcPr/>
          <w:p>
            <w:pPr>
              <w:pStyle w:val="Compact"/>
            </w:pPr>
            <w:r>
              <w:rPr>
                <w:b/>
                <w:bCs/>
              </w:rPr>
              <w:t xml:space="preserve">Yes</w:t>
            </w:r>
            <w:r>
              <w:t xml:space="preserve"> </w:t>
            </w:r>
            <w:r>
              <w:t xml:space="preserve">(arbitration permitted; substantive protection survives)</w:t>
            </w:r>
          </w:p>
        </w:tc>
        <w:tc>
          <w:tcPr/>
          <w:p>
            <w:pPr>
              <w:pStyle w:val="Compact"/>
            </w:pPr>
            <w:r>
              <w:t xml:space="preserve">🔴</w:t>
            </w:r>
          </w:p>
        </w:tc>
      </w:tr>
      <w:tr>
        <w:tc>
          <w:tcPr/>
          <w:p>
            <w:pPr>
              <w:pStyle w:val="Compact"/>
            </w:pPr>
            <w:r>
              <w:rPr>
                <w:b/>
                <w:bCs/>
              </w:rPr>
              <w:t xml:space="preserve">Belgium</w:t>
            </w:r>
          </w:p>
        </w:tc>
        <w:tc>
          <w:tcPr/>
          <w:p>
            <w:pPr>
              <w:pStyle w:val="Compact"/>
            </w:pPr>
            <w:r>
              <w:t xml:space="preserve">Code of Economic Law, Book X (formerly Act of 27 July 1961)</w:t>
            </w:r>
          </w:p>
        </w:tc>
        <w:tc>
          <w:tcPr/>
          <w:p>
            <w:pPr>
              <w:pStyle w:val="Compact"/>
            </w:pPr>
            <w:r>
              <w:t xml:space="preserve">Exclusive or quasi-exclusive distributor of indefinite duration operating in Belgium</w:t>
            </w:r>
          </w:p>
        </w:tc>
        <w:tc>
          <w:tcPr/>
          <w:p>
            <w:pPr>
              <w:pStyle w:val="Compact"/>
            </w:pPr>
            <w:r>
              <w:t xml:space="preserve">Reasonable notice (months of gross margin) + goodwill/clientele indemnity + wind-down costs</w:t>
            </w:r>
          </w:p>
        </w:tc>
        <w:tc>
          <w:tcPr/>
          <w:p>
            <w:pPr>
              <w:pStyle w:val="Compact"/>
            </w:pPr>
            <w:r>
              <w:rPr>
                <w:b/>
                <w:bCs/>
              </w:rPr>
              <w:t xml:space="preserve">Yes</w:t>
            </w:r>
            <w:r>
              <w:t xml:space="preserve"> </w:t>
            </w:r>
            <w:r>
              <w:t xml:space="preserve">(mandatory)</w:t>
            </w:r>
          </w:p>
        </w:tc>
        <w:tc>
          <w:tcPr/>
          <w:p>
            <w:pPr>
              <w:pStyle w:val="Compact"/>
            </w:pPr>
            <w:r>
              <w:t xml:space="preserve">🔴</w:t>
            </w:r>
          </w:p>
        </w:tc>
      </w:tr>
      <w:tr>
        <w:tc>
          <w:tcPr/>
          <w:p>
            <w:pPr>
              <w:pStyle w:val="Compact"/>
            </w:pPr>
            <w:r>
              <w:rPr>
                <w:b/>
                <w:bCs/>
              </w:rPr>
              <w:t xml:space="preserve">Dominican Republic</w:t>
            </w:r>
          </w:p>
        </w:tc>
        <w:tc>
          <w:tcPr/>
          <w:p>
            <w:pPr>
              <w:pStyle w:val="Compact"/>
            </w:pPr>
            <w:r>
              <w:t xml:space="preserve">Law 173 of 1966</w:t>
            </w:r>
          </w:p>
        </w:tc>
        <w:tc>
          <w:tcPr/>
          <w:p>
            <w:pPr>
              <w:pStyle w:val="Compact"/>
            </w:pPr>
            <w:r>
              <w:t xml:space="preserve">Registered distributor</w:t>
            </w:r>
          </w:p>
        </w:tc>
        <w:tc>
          <w:tcPr/>
          <w:p>
            <w:pPr>
              <w:pStyle w:val="Compact"/>
            </w:pPr>
            <w:r>
              <w:rPr>
                <w:b/>
                <w:bCs/>
              </w:rPr>
              <w:t xml:space="preserve">5 years’ gross profit + 10% per year over 5</w:t>
            </w:r>
            <w:r>
              <w:t xml:space="preserve">, plus investments and inventory</w:t>
            </w:r>
          </w:p>
        </w:tc>
        <w:tc>
          <w:tcPr/>
          <w:p>
            <w:pPr>
              <w:pStyle w:val="Compact"/>
            </w:pPr>
            <w:r>
              <w:t xml:space="preserve">Yes —</w:t>
            </w:r>
            <w:r>
              <w:t xml:space="preserve"> </w:t>
            </w:r>
            <w:r>
              <w:rPr>
                <w:b/>
                <w:bCs/>
              </w:rPr>
              <w:t xml:space="preserve">unless the post-2007 CAFTA-DR opt-out clause is used</w:t>
            </w:r>
          </w:p>
        </w:tc>
        <w:tc>
          <w:tcPr/>
          <w:p>
            <w:pPr>
              <w:pStyle w:val="Compact"/>
            </w:pPr>
            <w:r>
              <w:t xml:space="preserve">🔴 (🟡 with opt-out)</w:t>
            </w:r>
          </w:p>
        </w:tc>
      </w:tr>
      <w:tr>
        <w:tc>
          <w:tcPr/>
          <w:p>
            <w:pPr>
              <w:pStyle w:val="Compact"/>
            </w:pPr>
            <w:r>
              <w:rPr>
                <w:b/>
                <w:bCs/>
              </w:rPr>
              <w:t xml:space="preserve">Qatar / Kuwait</w:t>
            </w:r>
          </w:p>
        </w:tc>
        <w:tc>
          <w:tcPr/>
          <w:p>
            <w:pPr>
              <w:pStyle w:val="Compact"/>
            </w:pPr>
            <w:r>
              <w:t xml:space="preserve">Qatar Law 8/2002; Kuwait Law 13/2016</w:t>
            </w:r>
          </w:p>
        </w:tc>
        <w:tc>
          <w:tcPr/>
          <w:p>
            <w:pPr>
              <w:pStyle w:val="Compact"/>
            </w:pPr>
            <w:r>
              <w:rPr>
                <w:b/>
                <w:bCs/>
              </w:rPr>
              <w:t xml:space="preserve">Registered</w:t>
            </w:r>
            <w:r>
              <w:t xml:space="preserve"> </w:t>
            </w:r>
            <w:r>
              <w:t xml:space="preserve">agency</w:t>
            </w:r>
          </w:p>
        </w:tc>
        <w:tc>
          <w:tcPr/>
          <w:p>
            <w:pPr>
              <w:pStyle w:val="Compact"/>
            </w:pPr>
            <w:r>
              <w:t xml:space="preserve">Exclusivity plus compensation; very difficult to remove</w:t>
            </w:r>
          </w:p>
        </w:tc>
        <w:tc>
          <w:tcPr/>
          <w:p>
            <w:pPr>
              <w:pStyle w:val="Compact"/>
            </w:pPr>
            <w:r>
              <w:t xml:space="preserve">If registered, yes</w:t>
            </w:r>
          </w:p>
        </w:tc>
        <w:tc>
          <w:tcPr/>
          <w:p>
            <w:pPr>
              <w:pStyle w:val="Compact"/>
            </w:pPr>
            <w:r>
              <w:t xml:space="preserve">🔴 (if registered)</w:t>
            </w:r>
          </w:p>
        </w:tc>
      </w:tr>
      <w:tr>
        <w:tc>
          <w:tcPr/>
          <w:p>
            <w:pPr>
              <w:pStyle w:val="Compact"/>
            </w:pPr>
            <w:r>
              <w:rPr>
                <w:b/>
                <w:bCs/>
              </w:rPr>
              <w:t xml:space="preserve">UAE</w:t>
            </w:r>
          </w:p>
        </w:tc>
        <w:tc>
          <w:tcPr/>
          <w:p>
            <w:pPr>
              <w:pStyle w:val="Compact"/>
            </w:pPr>
            <w:r>
              <w:t xml:space="preserve">Federal Law No. 3 of 2022 on Commercial Agencies</w:t>
            </w:r>
          </w:p>
        </w:tc>
        <w:tc>
          <w:tcPr/>
          <w:p>
            <w:pPr>
              <w:pStyle w:val="Compact"/>
            </w:pPr>
            <w:r>
              <w:rPr>
                <w:b/>
                <w:bCs/>
              </w:rPr>
              <w:t xml:space="preserve">Registered</w:t>
            </w:r>
            <w:r>
              <w:t xml:space="preserve"> </w:t>
            </w:r>
            <w:r>
              <w:t xml:space="preserve">agency</w:t>
            </w:r>
          </w:p>
        </w:tc>
        <w:tc>
          <w:tcPr/>
          <w:p>
            <w:pPr>
              <w:pStyle w:val="Compact"/>
            </w:pPr>
            <w:r>
              <w:t xml:space="preserve">Indemnity if wrongful termination; 2022 law liberalised termination; 1-year non-renewal notice</w:t>
            </w:r>
          </w:p>
        </w:tc>
        <w:tc>
          <w:tcPr/>
          <w:p>
            <w:pPr>
              <w:pStyle w:val="Compact"/>
            </w:pPr>
            <w:r>
              <w:t xml:space="preserve">If registered</w:t>
            </w:r>
          </w:p>
        </w:tc>
        <w:tc>
          <w:tcPr/>
          <w:p>
            <w:pPr>
              <w:pStyle w:val="Compact"/>
            </w:pPr>
            <w:r>
              <w:t xml:space="preserve">🟡 (🟢 if unregistered distributor)</w:t>
            </w:r>
          </w:p>
        </w:tc>
      </w:tr>
      <w:tr>
        <w:tc>
          <w:tcPr/>
          <w:p>
            <w:pPr>
              <w:pStyle w:val="Compact"/>
            </w:pPr>
            <w:r>
              <w:rPr>
                <w:b/>
                <w:bCs/>
              </w:rPr>
              <w:t xml:space="preserve">Saudi Arabia</w:t>
            </w:r>
          </w:p>
        </w:tc>
        <w:tc>
          <w:tcPr/>
          <w:p>
            <w:pPr>
              <w:pStyle w:val="Compact"/>
            </w:pPr>
            <w:r>
              <w:t xml:space="preserve">Commercial Agencies Law 2023</w:t>
            </w:r>
          </w:p>
        </w:tc>
        <w:tc>
          <w:tcPr/>
          <w:p>
            <w:pPr>
              <w:pStyle w:val="Compact"/>
            </w:pPr>
            <w:r>
              <w:t xml:space="preserve">Registered agent / distributor</w:t>
            </w:r>
          </w:p>
        </w:tc>
        <w:tc>
          <w:tcPr/>
          <w:p>
            <w:pPr>
              <w:pStyle w:val="Compact"/>
            </w:pPr>
            <w:r>
              <w:t xml:space="preserve">Unlimited-term: one month’s notice per year; wrongful-termination indemnity</w:t>
            </w:r>
          </w:p>
        </w:tc>
        <w:tc>
          <w:tcPr/>
          <w:p>
            <w:pPr>
              <w:pStyle w:val="Compact"/>
            </w:pPr>
            <w:r>
              <w:t xml:space="preserve">If registered</w:t>
            </w:r>
          </w:p>
        </w:tc>
        <w:tc>
          <w:tcPr/>
          <w:p>
            <w:pPr>
              <w:pStyle w:val="Compact"/>
            </w:pPr>
            <w:r>
              <w:t xml:space="preserve">🟡</w:t>
            </w:r>
          </w:p>
        </w:tc>
      </w:tr>
      <w:tr>
        <w:tc>
          <w:tcPr/>
          <w:p>
            <w:pPr>
              <w:pStyle w:val="Compact"/>
            </w:pPr>
            <w:r>
              <w:rPr>
                <w:b/>
                <w:bCs/>
              </w:rPr>
              <w:t xml:space="preserve">Colombia</w:t>
            </w:r>
          </w:p>
        </w:tc>
        <w:tc>
          <w:tcPr/>
          <w:p>
            <w:pPr>
              <w:pStyle w:val="Compact"/>
            </w:pPr>
            <w:r>
              <w:t xml:space="preserve">Código de Comercio Art. 1324</w:t>
            </w:r>
          </w:p>
        </w:tc>
        <w:tc>
          <w:tcPr/>
          <w:p>
            <w:pPr>
              <w:pStyle w:val="Compact"/>
            </w:pPr>
            <w:r>
              <w:rPr>
                <w:i/>
                <w:iCs/>
              </w:rPr>
              <w:t xml:space="preserve">Agencia mercantil</w:t>
            </w:r>
            <w:r>
              <w:t xml:space="preserve"> </w:t>
            </w:r>
            <w:r>
              <w:t xml:space="preserve">(recharacterisation risk)</w:t>
            </w:r>
          </w:p>
        </w:tc>
        <w:tc>
          <w:tcPr/>
          <w:p>
            <w:pPr>
              <w:pStyle w:val="Compact"/>
            </w:pPr>
            <w:r>
              <w:rPr>
                <w:i/>
                <w:iCs/>
              </w:rPr>
              <w:t xml:space="preserve">Cesantía</w:t>
            </w:r>
            <w:r>
              <w:t xml:space="preserve"> </w:t>
            </w:r>
            <w:r>
              <w:t xml:space="preserve">= 1/12 of average last-3-year compensation × years, plus equitable indemnity absent cause</w:t>
            </w:r>
          </w:p>
        </w:tc>
        <w:tc>
          <w:tcPr/>
          <w:p>
            <w:pPr>
              <w:pStyle w:val="Compact"/>
            </w:pPr>
            <w:r>
              <w:t xml:space="preserve">Mandatory; recharacterisation risk</w:t>
            </w:r>
          </w:p>
        </w:tc>
        <w:tc>
          <w:tcPr/>
          <w:p>
            <w:pPr>
              <w:pStyle w:val="Compact"/>
            </w:pPr>
            <w:r>
              <w:t xml:space="preserve">🟡</w:t>
            </w:r>
          </w:p>
        </w:tc>
      </w:tr>
      <w:tr>
        <w:tc>
          <w:tcPr/>
          <w:p>
            <w:pPr>
              <w:pStyle w:val="Compact"/>
            </w:pPr>
            <w:r>
              <w:rPr>
                <w:b/>
                <w:bCs/>
              </w:rPr>
              <w:t xml:space="preserve">Brazil</w:t>
            </w:r>
          </w:p>
        </w:tc>
        <w:tc>
          <w:tcPr/>
          <w:p>
            <w:pPr>
              <w:pStyle w:val="Compact"/>
            </w:pPr>
            <w:r>
              <w:t xml:space="preserve">Law 4,886/65</w:t>
            </w:r>
          </w:p>
        </w:tc>
        <w:tc>
          <w:tcPr/>
          <w:p>
            <w:pPr>
              <w:pStyle w:val="Compact"/>
            </w:pPr>
            <w:r>
              <w:t xml:space="preserve">Commercial representative (agent)</w:t>
            </w:r>
          </w:p>
        </w:tc>
        <w:tc>
          <w:tcPr/>
          <w:p>
            <w:pPr>
              <w:pStyle w:val="Compact"/>
            </w:pPr>
            <w:r>
              <w:t xml:space="preserve">≥ 1/12 of total lifetime remuneration, plus notice</w:t>
            </w:r>
          </w:p>
        </w:tc>
        <w:tc>
          <w:tcPr/>
          <w:p>
            <w:pPr>
              <w:pStyle w:val="Compact"/>
            </w:pPr>
            <w:r>
              <w:t xml:space="preserve">Mandatory for agents</w:t>
            </w:r>
          </w:p>
        </w:tc>
        <w:tc>
          <w:tcPr/>
          <w:p>
            <w:pPr>
              <w:pStyle w:val="Compact"/>
            </w:pPr>
            <w:r>
              <w:t xml:space="preserve">🟡 (🟢 for a pure buy-resell distributor)</w:t>
            </w:r>
          </w:p>
        </w:tc>
      </w:tr>
      <w:tr>
        <w:tc>
          <w:tcPr/>
          <w:p>
            <w:pPr>
              <w:pStyle w:val="Compact"/>
            </w:pPr>
            <w:r>
              <w:rPr>
                <w:b/>
                <w:bCs/>
              </w:rPr>
              <w:t xml:space="preserve">Costa Rica / Honduras</w:t>
            </w:r>
          </w:p>
        </w:tc>
        <w:tc>
          <w:tcPr/>
          <w:p>
            <w:pPr>
              <w:pStyle w:val="Compact"/>
            </w:pPr>
            <w:r>
              <w:t xml:space="preserve">Law 6209 / Decree 549</w:t>
            </w:r>
          </w:p>
        </w:tc>
        <w:tc>
          <w:tcPr/>
          <w:p>
            <w:pPr>
              <w:pStyle w:val="Compact"/>
            </w:pPr>
            <w:r>
              <w:t xml:space="preserve">Representative or distributor</w:t>
            </w:r>
          </w:p>
        </w:tc>
        <w:tc>
          <w:tcPr/>
          <w:p>
            <w:pPr>
              <w:pStyle w:val="Compact"/>
            </w:pPr>
            <w:r>
              <w:t xml:space="preserve">Historically heavy; curtailed by CAFTA-DR</w:t>
            </w:r>
          </w:p>
        </w:tc>
        <w:tc>
          <w:tcPr/>
          <w:p>
            <w:pPr>
              <w:pStyle w:val="Compact"/>
            </w:pPr>
            <w:r>
              <w:t xml:space="preserve">Reduced post-CAFTA</w:t>
            </w:r>
          </w:p>
        </w:tc>
        <w:tc>
          <w:tcPr/>
          <w:p>
            <w:pPr>
              <w:pStyle w:val="Compact"/>
            </w:pPr>
            <w:r>
              <w:t xml:space="preserve">🟡</w:t>
            </w:r>
          </w:p>
        </w:tc>
      </w:tr>
      <w:tr>
        <w:tc>
          <w:tcPr/>
          <w:p>
            <w:pPr>
              <w:pStyle w:val="Compact"/>
            </w:pPr>
            <w:r>
              <w:rPr>
                <w:b/>
                <w:bCs/>
              </w:rPr>
              <w:t xml:space="preserve">Indonesia</w:t>
            </w:r>
          </w:p>
        </w:tc>
        <w:tc>
          <w:tcPr/>
          <w:p>
            <w:pPr>
              <w:pStyle w:val="Compact"/>
            </w:pPr>
            <w:r>
              <w:t xml:space="preserve">Local-agent registration rules</w:t>
            </w:r>
          </w:p>
        </w:tc>
        <w:tc>
          <w:tcPr/>
          <w:p>
            <w:pPr>
              <w:pStyle w:val="Compact"/>
            </w:pPr>
            <w:r>
              <w:t xml:space="preserve">Registered distributor / agent</w:t>
            </w:r>
          </w:p>
        </w:tc>
        <w:tc>
          <w:tcPr/>
          <w:p>
            <w:pPr>
              <w:pStyle w:val="Compact"/>
            </w:pPr>
            <w:r>
              <w:t xml:space="preserve">Practical registration lock-in;</w:t>
            </w:r>
            <w:r>
              <w:t xml:space="preserve"> </w:t>
            </w:r>
            <w:r>
              <w:t xml:space="preserve">“clean break”</w:t>
            </w:r>
            <w:r>
              <w:t xml:space="preserve"> </w:t>
            </w:r>
            <w:r>
              <w:t xml:space="preserve">letter needed to switch</w:t>
            </w:r>
          </w:p>
        </w:tc>
        <w:tc>
          <w:tcPr/>
          <w:p>
            <w:pPr>
              <w:pStyle w:val="Compact"/>
            </w:pPr>
            <w:r>
              <w:t xml:space="preserve">Practical lock-in</w:t>
            </w:r>
          </w:p>
        </w:tc>
        <w:tc>
          <w:tcPr/>
          <w:p>
            <w:pPr>
              <w:pStyle w:val="Compact"/>
            </w:pPr>
            <w:r>
              <w:t xml:space="preserve">🟡</w:t>
            </w:r>
          </w:p>
        </w:tc>
      </w:tr>
      <w:tr>
        <w:tc>
          <w:tcPr/>
          <w:p>
            <w:pPr>
              <w:pStyle w:val="Compact"/>
            </w:pPr>
            <w:r>
              <w:rPr>
                <w:b/>
                <w:bCs/>
              </w:rPr>
              <w:t xml:space="preserve">EU (generally)</w:t>
            </w:r>
          </w:p>
        </w:tc>
        <w:tc>
          <w:tcPr/>
          <w:p>
            <w:pPr>
              <w:pStyle w:val="Compact"/>
            </w:pPr>
            <w:r>
              <w:t xml:space="preserve">Directive 86/653/EEC on Commercial Agents</w:t>
            </w:r>
          </w:p>
        </w:tc>
        <w:tc>
          <w:tcPr/>
          <w:p>
            <w:pPr>
              <w:pStyle w:val="Compact"/>
            </w:pPr>
            <w:r>
              <w:rPr>
                <w:b/>
                <w:bCs/>
              </w:rPr>
              <w:t xml:space="preserve">Agents only</w:t>
            </w:r>
            <w:r>
              <w:t xml:space="preserve">, not distributors</w:t>
            </w:r>
          </w:p>
        </w:tc>
        <w:tc>
          <w:tcPr/>
          <w:p>
            <w:pPr>
              <w:pStyle w:val="Compact"/>
            </w:pPr>
            <w:r>
              <w:t xml:space="preserve">Goodwill indemnity (capped at 1 year’s average commission) or compensation</w:t>
            </w:r>
          </w:p>
        </w:tc>
        <w:tc>
          <w:tcPr/>
          <w:p>
            <w:pPr>
              <w:pStyle w:val="Compact"/>
            </w:pPr>
            <w:r>
              <w:t xml:space="preserve">Mandatory for agents</w:t>
            </w:r>
          </w:p>
        </w:tc>
        <w:tc>
          <w:tcPr/>
          <w:p>
            <w:pPr>
              <w:pStyle w:val="Compact"/>
            </w:pPr>
            <w:r>
              <w:t xml:space="preserve">🟢 for distributors (🔴 if recharacterised as agent)</w:t>
            </w:r>
          </w:p>
        </w:tc>
      </w:tr>
    </w:tbl>
    <w:bookmarkStart w:id="111" w:name="X26a6f65a3fff221a56aecfc3bb71ad295f052d5"/>
    <w:p>
      <w:pPr>
        <w:pStyle w:val="Heading2"/>
      </w:pPr>
      <w:r>
        <w:t xml:space="preserve">Mitigation checklist (apply to every appointment)</w:t>
      </w:r>
    </w:p>
    <w:p>
      <w:pPr>
        <w:pStyle w:val="Compact"/>
        <w:numPr>
          <w:ilvl w:val="0"/>
          <w:numId w:val="1029"/>
        </w:numPr>
      </w:pPr>
      <w:r>
        <w:t xml:space="preserve">Structure as an</w:t>
      </w:r>
      <w:r>
        <w:t xml:space="preserve"> </w:t>
      </w:r>
      <w:r>
        <w:rPr>
          <w:b/>
          <w:bCs/>
        </w:rPr>
        <w:t xml:space="preserve">independent buy-resell distributor</w:t>
      </w:r>
      <w:r>
        <w:t xml:space="preserve">, never an agent (Section 2.2).</w:t>
      </w:r>
    </w:p>
    <w:p>
      <w:pPr>
        <w:pStyle w:val="Compact"/>
        <w:numPr>
          <w:ilvl w:val="0"/>
          <w:numId w:val="1029"/>
        </w:numPr>
      </w:pPr>
      <w:r>
        <w:rPr>
          <w:b/>
          <w:bCs/>
        </w:rPr>
        <w:t xml:space="preserve">Fixed term with affirmative written renewal only</w:t>
      </w:r>
      <w:r>
        <w:t xml:space="preserve"> </w:t>
      </w:r>
      <w:r>
        <w:t xml:space="preserve">— no evergreen, no tacit renewal (Section 37.2).</w:t>
      </w:r>
    </w:p>
    <w:p>
      <w:pPr>
        <w:pStyle w:val="Compact"/>
        <w:numPr>
          <w:ilvl w:val="0"/>
          <w:numId w:val="1029"/>
        </w:numPr>
      </w:pPr>
      <w:r>
        <w:rPr>
          <w:b/>
          <w:bCs/>
        </w:rPr>
        <w:t xml:space="preserve">Do not register</w:t>
      </w:r>
      <w:r>
        <w:t xml:space="preserve"> </w:t>
      </w:r>
      <w:r>
        <w:t xml:space="preserve">the distributor as a statutory commercial agent, and prohibit it from doing so (Section 2.2).</w:t>
      </w:r>
    </w:p>
    <w:p>
      <w:pPr>
        <w:pStyle w:val="Compact"/>
        <w:numPr>
          <w:ilvl w:val="0"/>
          <w:numId w:val="1029"/>
        </w:numPr>
      </w:pPr>
      <w:r>
        <w:t xml:space="preserve">Use the</w:t>
      </w:r>
      <w:r>
        <w:t xml:space="preserve"> </w:t>
      </w:r>
      <w:r>
        <w:rPr>
          <w:b/>
          <w:bCs/>
        </w:rPr>
        <w:t xml:space="preserve">CAFTA-DR opt-out</w:t>
      </w:r>
      <w:r>
        <w:t xml:space="preserve"> </w:t>
      </w:r>
      <w:r>
        <w:t xml:space="preserve">in Dominican Republic appointments.</w:t>
      </w:r>
    </w:p>
    <w:p>
      <w:pPr>
        <w:pStyle w:val="Compact"/>
        <w:numPr>
          <w:ilvl w:val="0"/>
          <w:numId w:val="1029"/>
        </w:numPr>
      </w:pPr>
      <w:r>
        <w:t xml:space="preserve">Retain Section 39.7 (no compensation)</w:t>
      </w:r>
      <w:r>
        <w:t xml:space="preserve"> </w:t>
      </w:r>
      <w:r>
        <w:rPr>
          <w:b/>
          <w:bCs/>
        </w:rPr>
        <w:t xml:space="preserve">with the Section 39.8 savings clause</w:t>
      </w:r>
      <w:r>
        <w:t xml:space="preserve">, which preserves the rest of the Agreement where local mandatory law bites.</w:t>
      </w:r>
    </w:p>
    <w:p>
      <w:pPr>
        <w:pStyle w:val="Compact"/>
        <w:numPr>
          <w:ilvl w:val="0"/>
          <w:numId w:val="1029"/>
        </w:numPr>
      </w:pPr>
      <w:r>
        <w:t xml:space="preserve">Confirm</w:t>
      </w:r>
      <w:r>
        <w:t xml:space="preserve"> </w:t>
      </w:r>
      <w:r>
        <w:rPr>
          <w:b/>
          <w:bCs/>
        </w:rPr>
        <w:t xml:space="preserve">inventory buy-back</w:t>
      </w:r>
      <w:r>
        <w:t xml:space="preserve"> </w:t>
      </w:r>
      <w:r>
        <w:t xml:space="preserve">exposure: Puerto Rico and the Dominican Republic may</w:t>
      </w:r>
      <w:r>
        <w:t xml:space="preserve"> </w:t>
      </w:r>
      <w:r>
        <w:rPr>
          <w:i/>
          <w:iCs/>
        </w:rPr>
        <w:t xml:space="preserve">mandate</w:t>
      </w:r>
      <w:r>
        <w:t xml:space="preserve"> </w:t>
      </w:r>
      <w:r>
        <w:t xml:space="preserve">repurchase notwithstanding Section 39.4.</w:t>
      </w:r>
    </w:p>
    <w:p>
      <w:pPr>
        <w:pStyle w:val="Compact"/>
        <w:numPr>
          <w:ilvl w:val="0"/>
          <w:numId w:val="1029"/>
        </w:numPr>
      </w:pPr>
      <w:r>
        <w:t xml:space="preserve">Engage</w:t>
      </w:r>
      <w:r>
        <w:t xml:space="preserve"> </w:t>
      </w:r>
      <w:r>
        <w:rPr>
          <w:b/>
          <w:bCs/>
        </w:rPr>
        <w:t xml:space="preserve">local counsel before signature</w:t>
      </w:r>
      <w:r>
        <w:t xml:space="preserve"> </w:t>
      </w:r>
      <w:r>
        <w:t xml:space="preserve">in any 🔴 or 🟡 jurisdiction.</w:t>
      </w:r>
    </w:p>
    <w:p>
      <w:r>
        <w:pict>
          <v:rect style="width:0;height:1.5pt" o:hralign="center" o:hrstd="t" o:hr="t"/>
        </w:pict>
      </w:r>
    </w:p>
    <w:bookmarkEnd w:id="111"/>
    <w:bookmarkEnd w:id="112"/>
    <w:bookmarkStart w:id="113" w:name="X7c74e73e994f4a6f9041ecb7e1d8ec010285d57"/>
    <w:p>
      <w:pPr>
        <w:pStyle w:val="Heading1"/>
      </w:pPr>
      <w:r>
        <w:t xml:space="preserve">EXHIBIT 2 — ANNUAL DISTRIBUTOR COMPLIANCE CERTIFICATE</w:t>
      </w:r>
    </w:p>
    <w:p>
      <w:pPr>
        <w:pStyle w:val="FirstParagraph"/>
      </w:pPr>
      <w:r>
        <w:rPr>
          <w:i/>
          <w:iCs/>
        </w:rPr>
        <w:t xml:space="preserve">(To be executed by an officer of Distributor within 30 days of each anniversary of the Effective Date — Section 36.4)</w:t>
      </w:r>
    </w:p>
    <w:p>
      <w:pPr>
        <w:pStyle w:val="BodyText"/>
      </w:pPr>
      <w:r>
        <w:t xml:space="preserve">I,</w:t>
      </w:r>
      <w:r>
        <w:t xml:space="preserve"> </w:t>
      </w:r>
      <w:r>
        <w:rPr>
          <w:rStyle w:val="VerbatimChar"/>
        </w:rPr>
        <w:t xml:space="preserve">[name]</w:t>
      </w:r>
      <w:r>
        <w:t xml:space="preserve">,</w:t>
      </w:r>
      <w:r>
        <w:t xml:space="preserve"> </w:t>
      </w:r>
      <w:r>
        <w:rPr>
          <w:rStyle w:val="VerbatimChar"/>
        </w:rPr>
        <w:t xml:space="preserve">[title]</w:t>
      </w:r>
      <w:r>
        <w:t xml:space="preserve"> </w:t>
      </w:r>
      <w:r>
        <w:t xml:space="preserve">of</w:t>
      </w:r>
      <w:r>
        <w:t xml:space="preserve"> </w:t>
      </w:r>
      <w:r>
        <w:rPr>
          <w:rStyle w:val="VerbatimChar"/>
        </w:rPr>
        <w:t xml:space="preserve">[Distributor]</w:t>
      </w:r>
      <w:r>
        <w:t xml:space="preserve">, certify that, for the 12 months ended</w:t>
      </w:r>
      <w:r>
        <w:t xml:space="preserve"> </w:t>
      </w:r>
      <w:r>
        <w:rPr>
          <w:rStyle w:val="VerbatimChar"/>
        </w:rPr>
        <w:t xml:space="preserve">[date]</w:t>
      </w:r>
      <w:r>
        <w:t xml:space="preserve">:</w:t>
      </w:r>
    </w:p>
    <w:p>
      <w:pPr>
        <w:pStyle w:val="Compact"/>
        <w:numPr>
          <w:ilvl w:val="0"/>
          <w:numId w:val="1030"/>
        </w:numPr>
      </w:pPr>
      <w:r>
        <w:t xml:space="preserve">Distributor has complied with</w:t>
      </w:r>
      <w:r>
        <w:t xml:space="preserve"> </w:t>
      </w:r>
      <w:r>
        <w:rPr>
          <w:b/>
          <w:bCs/>
        </w:rPr>
        <w:t xml:space="preserve">Section 17 (Research Use Only Status; Labeling; No Clinical Use)</w:t>
      </w:r>
      <w:r>
        <w:t xml:space="preserve">, and is not aware of any Prohibited Clinical Use of any Product by Distributor, any sub-distributor, or any customer, other than as previously disclosed to MADE in writing.</w:t>
      </w:r>
    </w:p>
    <w:p>
      <w:pPr>
        <w:pStyle w:val="Compact"/>
        <w:numPr>
          <w:ilvl w:val="0"/>
          <w:numId w:val="1030"/>
        </w:numPr>
      </w:pPr>
      <w:r>
        <w:t xml:space="preserve">Every customer to which Distributor supplied a Product executed an</w:t>
      </w:r>
      <w:r>
        <w:t xml:space="preserve"> </w:t>
      </w:r>
      <w:r>
        <w:rPr>
          <w:b/>
          <w:bCs/>
        </w:rPr>
        <w:t xml:space="preserve">End-User Certificate</w:t>
      </w:r>
      <w:r>
        <w:t xml:space="preserve"> </w:t>
      </w:r>
      <w:r>
        <w:t xml:space="preserve">before supply, and Distributor holds know-your-customer records for each.</w:t>
      </w:r>
    </w:p>
    <w:p>
      <w:pPr>
        <w:pStyle w:val="Compact"/>
        <w:numPr>
          <w:ilvl w:val="0"/>
          <w:numId w:val="1030"/>
        </w:numPr>
      </w:pPr>
      <w:r>
        <w:t xml:space="preserve">Distributor has complied with</w:t>
      </w:r>
      <w:r>
        <w:t xml:space="preserve"> </w:t>
      </w:r>
      <w:r>
        <w:rPr>
          <w:b/>
          <w:bCs/>
        </w:rPr>
        <w:t xml:space="preserve">Section 36</w:t>
      </w:r>
      <w:r>
        <w:t xml:space="preserve"> </w:t>
      </w:r>
      <w:r>
        <w:t xml:space="preserve">(Anti-Corruption; Sanctions), has maintained anti-corruption policies and training, and has screened its customers and sub-distributors against the OFAC and BIS lists.</w:t>
      </w:r>
    </w:p>
    <w:p>
      <w:pPr>
        <w:pStyle w:val="Compact"/>
        <w:numPr>
          <w:ilvl w:val="0"/>
          <w:numId w:val="1030"/>
        </w:numPr>
      </w:pPr>
      <w:r>
        <w:t xml:space="preserve">No director, officer, employee, owner, or sub-distributor of Distributor is a Sanctioned Party, debarred, or excluded.</w:t>
      </w:r>
    </w:p>
    <w:p>
      <w:pPr>
        <w:pStyle w:val="Compact"/>
        <w:numPr>
          <w:ilvl w:val="0"/>
          <w:numId w:val="1030"/>
        </w:numPr>
      </w:pPr>
      <w:r>
        <w:t xml:space="preserve">No government, government official, or family member thereof holds any undisclosed ownership or beneficial interest in Distributor.</w:t>
      </w:r>
    </w:p>
    <w:p>
      <w:pPr>
        <w:pStyle w:val="Compact"/>
        <w:numPr>
          <w:ilvl w:val="0"/>
          <w:numId w:val="1030"/>
        </w:numPr>
      </w:pPr>
      <w:r>
        <w:t xml:space="preserve">Distributor has complied with</w:t>
      </w:r>
      <w:r>
        <w:t xml:space="preserve"> </w:t>
      </w:r>
      <w:r>
        <w:rPr>
          <w:b/>
          <w:bCs/>
        </w:rPr>
        <w:t xml:space="preserve">Section 25 and Schedule G</w:t>
      </w:r>
      <w:r>
        <w:t xml:space="preserve"> </w:t>
      </w:r>
      <w:r>
        <w:t xml:space="preserve">(Sampling), and has reconciled all Samples.</w:t>
      </w:r>
    </w:p>
    <w:p>
      <w:pPr>
        <w:pStyle w:val="Compact"/>
        <w:numPr>
          <w:ilvl w:val="0"/>
          <w:numId w:val="1030"/>
        </w:numPr>
      </w:pPr>
      <w:r>
        <w:t xml:space="preserve">Distributor has complied with</w:t>
      </w:r>
      <w:r>
        <w:t xml:space="preserve"> </w:t>
      </w:r>
      <w:r>
        <w:rPr>
          <w:b/>
          <w:bCs/>
        </w:rPr>
        <w:t xml:space="preserve">Section 28 and Schedule I</w:t>
      </w:r>
      <w:r>
        <w:t xml:space="preserve"> </w:t>
      </w:r>
      <w:r>
        <w:t xml:space="preserve">(Database; Data Protection).</w:t>
      </w:r>
    </w:p>
    <w:p>
      <w:pPr>
        <w:pStyle w:val="Compact"/>
        <w:numPr>
          <w:ilvl w:val="0"/>
          <w:numId w:val="1030"/>
        </w:numPr>
      </w:pPr>
      <w:r>
        <w:t xml:space="preserve">Distributor has maintained the insurance required by</w:t>
      </w:r>
      <w:r>
        <w:t xml:space="preserve"> </w:t>
      </w:r>
      <w:r>
        <w:rPr>
          <w:b/>
          <w:bCs/>
        </w:rPr>
        <w:t xml:space="preserve">Section 35</w:t>
      </w:r>
      <w:r>
        <w:t xml:space="preserve"> </w:t>
      </w:r>
      <w:r>
        <w:t xml:space="preserve">and encloses current certificates.</w:t>
      </w:r>
    </w:p>
    <w:p>
      <w:pPr>
        <w:pStyle w:val="Compact"/>
        <w:numPr>
          <w:ilvl w:val="0"/>
          <w:numId w:val="1030"/>
        </w:numPr>
      </w:pPr>
      <w:r>
        <w:t xml:space="preserve">Distributor has maintained the cold-chain, traceability, and record-retention obligations in</w:t>
      </w:r>
      <w:r>
        <w:t xml:space="preserve"> </w:t>
      </w:r>
      <w:r>
        <w:rPr>
          <w:b/>
          <w:bCs/>
        </w:rPr>
        <w:t xml:space="preserve">Sections 19 and 22</w:t>
      </w:r>
      <w:r>
        <w:t xml:space="preserve">, and has conducted a mock recall under Section 21.4.</w:t>
      </w:r>
    </w:p>
    <w:p>
      <w:pPr>
        <w:pStyle w:val="FirstParagraph"/>
      </w:pPr>
      <w:r>
        <w:t xml:space="preserve">Exceptions (if none, state</w:t>
      </w:r>
      <w:r>
        <w:t xml:space="preserve"> </w:t>
      </w:r>
      <w:r>
        <w:t xml:space="preserve">“None”</w:t>
      </w:r>
      <w:r>
        <w:t xml:space="preserve">):</w:t>
      </w:r>
      <w:r>
        <w:t xml:space="preserve"> </w:t>
      </w:r>
      <w:r>
        <w:rPr>
          <w:rStyle w:val="VerbatimChar"/>
        </w:rPr>
        <w:t xml:space="preserve">[__]</w:t>
      </w:r>
    </w:p>
    <w:p>
      <w:pPr>
        <w:pStyle w:val="BodyText"/>
      </w:pPr>
      <w:r>
        <w:t xml:space="preserve">Signature: ______________________ Date:</w:t>
      </w:r>
      <w:r>
        <w:t xml:space="preserve"> </w:t>
      </w:r>
      <w:r>
        <w:rPr>
          <w:rStyle w:val="VerbatimChar"/>
        </w:rPr>
        <w:t xml:space="preserve">[__]</w:t>
      </w:r>
    </w:p>
    <w:p>
      <w:r>
        <w:pict>
          <v:rect style="width:0;height:1.5pt" o:hralign="center" o:hrstd="t" o:hr="t"/>
        </w:pict>
      </w:r>
    </w:p>
    <w:bookmarkEnd w:id="113"/>
    <w:bookmarkStart w:id="114" w:name="exhibit-3-end-user-certificate"/>
    <w:p>
      <w:pPr>
        <w:pStyle w:val="Heading1"/>
      </w:pPr>
      <w:r>
        <w:t xml:space="preserve">EXHIBIT 3 — END-USER CERTIFICATE</w:t>
      </w:r>
    </w:p>
    <w:p>
      <w:pPr>
        <w:pStyle w:val="FirstParagraph"/>
      </w:pPr>
      <w:r>
        <w:rPr>
          <w:i/>
          <w:iCs/>
        </w:rPr>
        <w:t xml:space="preserve">(To be executed by every customer before any Product is supplied — Section 17.4(a))</w:t>
      </w:r>
    </w:p>
    <w:p>
      <w:pPr>
        <w:pStyle w:val="BodyText"/>
      </w:pPr>
      <w:r>
        <w:rPr>
          <w:b/>
          <w:bCs/>
        </w:rPr>
        <w:t xml:space="preserve">Customer:</w:t>
      </w:r>
      <w:r>
        <w:t xml:space="preserve"> </w:t>
      </w:r>
      <w:r>
        <w:rPr>
          <w:rStyle w:val="VerbatimChar"/>
        </w:rPr>
        <w:t xml:space="preserve">[legal name, address]</w:t>
      </w:r>
      <w:r>
        <w:t xml:space="preserve"> </w:t>
      </w:r>
      <w:r>
        <w:rPr>
          <w:b/>
          <w:bCs/>
        </w:rPr>
        <w:t xml:space="preserve">Product(s):</w:t>
      </w:r>
      <w:r>
        <w:t xml:space="preserve"> </w:t>
      </w:r>
      <w:r>
        <w:rPr>
          <w:rStyle w:val="VerbatimChar"/>
        </w:rPr>
        <w:t xml:space="preserve">[__]</w:t>
      </w:r>
    </w:p>
    <w:p>
      <w:pPr>
        <w:pStyle w:val="BodyText"/>
      </w:pPr>
      <w:r>
        <w:t xml:space="preserve">The undersigned customer certifies and agrees:</w:t>
      </w:r>
    </w:p>
    <w:p>
      <w:pPr>
        <w:numPr>
          <w:ilvl w:val="0"/>
          <w:numId w:val="1031"/>
        </w:numPr>
      </w:pPr>
      <w:r>
        <w:rPr>
          <w:b/>
          <w:bCs/>
        </w:rPr>
        <w:t xml:space="preserve">Research Use Only.</w:t>
      </w:r>
      <w:r>
        <w:t xml:space="preserve"> </w:t>
      </w:r>
      <w:r>
        <w:t xml:space="preserve">The Products are Research Use Only materials. They are</w:t>
      </w:r>
      <w:r>
        <w:t xml:space="preserve"> </w:t>
      </w:r>
      <w:r>
        <w:rPr>
          <w:b/>
          <w:bCs/>
        </w:rPr>
        <w:t xml:space="preserve">not approved, cleared, or licensed</w:t>
      </w:r>
      <w:r>
        <w:t xml:space="preserve"> </w:t>
      </w:r>
      <w:r>
        <w:t xml:space="preserve">by the FDA or any other regulatory authority, and are</w:t>
      </w:r>
      <w:r>
        <w:t xml:space="preserve"> </w:t>
      </w:r>
      <w:r>
        <w:rPr>
          <w:b/>
          <w:bCs/>
        </w:rPr>
        <w:t xml:space="preserve">not</w:t>
      </w:r>
      <w:r>
        <w:t xml:space="preserve"> </w:t>
      </w:r>
      <w:r>
        <w:t xml:space="preserve">drugs, biologics, medical devices, in-vitro diagnostics, cosmetics, or dietary supplements.</w:t>
      </w:r>
    </w:p>
    <w:p>
      <w:pPr>
        <w:numPr>
          <w:ilvl w:val="0"/>
          <w:numId w:val="1031"/>
        </w:numPr>
      </w:pPr>
      <w:r>
        <w:rPr>
          <w:b/>
          <w:bCs/>
        </w:rPr>
        <w:t xml:space="preserve">No human or animal use.</w:t>
      </w:r>
      <w:r>
        <w:t xml:space="preserve"> </w:t>
      </w:r>
      <w:r>
        <w:t xml:space="preserve">The customer will use the Products</w:t>
      </w:r>
      <w:r>
        <w:t xml:space="preserve"> </w:t>
      </w:r>
      <w:r>
        <w:rPr>
          <w:b/>
          <w:bCs/>
        </w:rPr>
        <w:t xml:space="preserve">solely for in-vitro laboratory research and non-clinical research and development</w:t>
      </w:r>
      <w:r>
        <w:t xml:space="preserve">, by or under the supervision of technically qualified personnel. The customer will</w:t>
      </w:r>
      <w:r>
        <w:t xml:space="preserve"> </w:t>
      </w:r>
      <w:r>
        <w:rPr>
          <w:b/>
          <w:bCs/>
        </w:rPr>
        <w:t xml:space="preserve">not</w:t>
      </w:r>
      <w:r>
        <w:t xml:space="preserve"> </w:t>
      </w:r>
      <w:r>
        <w:t xml:space="preserve">administer any Product to, or use any Product in or on,</w:t>
      </w:r>
      <w:r>
        <w:t xml:space="preserve"> </w:t>
      </w:r>
      <w:r>
        <w:rPr>
          <w:b/>
          <w:bCs/>
        </w:rPr>
        <w:t xml:space="preserve">any human or animal</w:t>
      </w:r>
      <w:r>
        <w:t xml:space="preserve">, by any route, including injection, infusion, implantation, transplantation, inhalation, ingestion, or topical or aesthetic application.</w:t>
      </w:r>
    </w:p>
    <w:p>
      <w:pPr>
        <w:numPr>
          <w:ilvl w:val="0"/>
          <w:numId w:val="1031"/>
        </w:numPr>
      </w:pPr>
      <w:r>
        <w:rPr>
          <w:b/>
          <w:bCs/>
        </w:rPr>
        <w:t xml:space="preserve">No clinical use of any kind.</w:t>
      </w:r>
      <w:r>
        <w:t xml:space="preserve"> </w:t>
      </w:r>
      <w:r>
        <w:t xml:space="preserve">The customer will not use any Product in any clinical trial, expanded-access, compassionate-use, or right-to-try protocol, nor compound, formulate, aliquot, or repackage any Product for any such use.</w:t>
      </w:r>
    </w:p>
    <w:p>
      <w:pPr>
        <w:numPr>
          <w:ilvl w:val="0"/>
          <w:numId w:val="1031"/>
        </w:numPr>
      </w:pPr>
      <w:r>
        <w:rPr>
          <w:b/>
          <w:bCs/>
        </w:rPr>
        <w:t xml:space="preserve">No resale.</w:t>
      </w:r>
      <w:r>
        <w:t xml:space="preserve"> </w:t>
      </w:r>
      <w:r>
        <w:t xml:space="preserve">The customer will not resell, transfer, or supply any Product to any other person.</w:t>
      </w:r>
    </w:p>
    <w:p>
      <w:pPr>
        <w:numPr>
          <w:ilvl w:val="0"/>
          <w:numId w:val="1031"/>
        </w:numPr>
      </w:pPr>
      <w:r>
        <w:rPr>
          <w:b/>
          <w:bCs/>
        </w:rPr>
        <w:t xml:space="preserve">No claims.</w:t>
      </w:r>
      <w:r>
        <w:t xml:space="preserve"> </w:t>
      </w:r>
      <w:r>
        <w:t xml:space="preserve">The customer will not represent that any Product is safe, effective, sterile for injection, of clinical grade, or suitable for human or animal use.</w:t>
      </w:r>
    </w:p>
    <w:p>
      <w:pPr>
        <w:numPr>
          <w:ilvl w:val="0"/>
          <w:numId w:val="1031"/>
        </w:numPr>
      </w:pPr>
      <w:r>
        <w:rPr>
          <w:b/>
          <w:bCs/>
        </w:rPr>
        <w:t xml:space="preserve">Labelling.</w:t>
      </w:r>
      <w:r>
        <w:t xml:space="preserve"> </w:t>
      </w:r>
      <w:r>
        <w:t xml:space="preserve">The customer will not remove, alter, or obscure the legend</w:t>
      </w:r>
      <w:r>
        <w:t xml:space="preserve"> </w:t>
      </w:r>
      <w:r>
        <w:t xml:space="preserve">“</w:t>
      </w:r>
      <w:r>
        <w:rPr>
          <w:b/>
          <w:bCs/>
        </w:rPr>
        <w:t xml:space="preserve">RESEARCH USE ONLY — NOT FOR USE IN HUMANS OR ANIMALS</w:t>
      </w:r>
      <w:r>
        <w:t xml:space="preserve">”</w:t>
      </w:r>
      <w:r>
        <w:t xml:space="preserve">.</w:t>
      </w:r>
    </w:p>
    <w:p>
      <w:pPr>
        <w:numPr>
          <w:ilvl w:val="0"/>
          <w:numId w:val="1031"/>
        </w:numPr>
      </w:pPr>
      <w:r>
        <w:rPr>
          <w:b/>
          <w:bCs/>
        </w:rPr>
        <w:t xml:space="preserve">Storage.</w:t>
      </w:r>
      <w:r>
        <w:t xml:space="preserve"> </w:t>
      </w:r>
      <w:r>
        <w:t xml:space="preserve">The customer will store and handle each Product strictly per its label and Certificate of Analysis.</w:t>
      </w:r>
    </w:p>
    <w:p>
      <w:pPr>
        <w:numPr>
          <w:ilvl w:val="0"/>
          <w:numId w:val="1031"/>
        </w:numPr>
      </w:pPr>
      <w:r>
        <w:rPr>
          <w:b/>
          <w:bCs/>
        </w:rPr>
        <w:t xml:space="preserve">Notification.</w:t>
      </w:r>
      <w:r>
        <w:t xml:space="preserve"> </w:t>
      </w:r>
      <w:r>
        <w:t xml:space="preserve">The customer will notify the supplier within 24 hours of any adverse event, quality complaint, or regulatory contact concerning any Product.</w:t>
      </w:r>
    </w:p>
    <w:p>
      <w:pPr>
        <w:numPr>
          <w:ilvl w:val="0"/>
          <w:numId w:val="1031"/>
        </w:numPr>
      </w:pPr>
      <w:r>
        <w:rPr>
          <w:b/>
          <w:bCs/>
        </w:rPr>
        <w:t xml:space="preserve">Acknowledgement.</w:t>
      </w:r>
      <w:r>
        <w:t xml:space="preserve"> </w:t>
      </w:r>
      <w:r>
        <w:t xml:space="preserve">The customer acknowledges that administering any Product to a human or animal without an investigational new drug application, biologics licence, or equivalent authorisation of the competent regulatory authority</w:t>
      </w:r>
      <w:r>
        <w:t xml:space="preserve"> </w:t>
      </w:r>
      <w:r>
        <w:rPr>
          <w:b/>
          <w:bCs/>
        </w:rPr>
        <w:t xml:space="preserve">is unlawful</w:t>
      </w:r>
      <w:r>
        <w:t xml:space="preserve">.</w:t>
      </w:r>
    </w:p>
    <w:p>
      <w:pPr>
        <w:numPr>
          <w:ilvl w:val="0"/>
          <w:numId w:val="1031"/>
        </w:numPr>
      </w:pPr>
      <w:r>
        <w:rPr>
          <w:b/>
          <w:bCs/>
        </w:rPr>
        <w:t xml:space="preserve">Audit.</w:t>
      </w:r>
      <w:r>
        <w:t xml:space="preserve"> </w:t>
      </w:r>
      <w:r>
        <w:t xml:space="preserve">The customer agrees that Made Scientific, Inc. and the supplier may audit its compliance with this certificate on reasonable notice.</w:t>
      </w:r>
    </w:p>
    <w:p>
      <w:pPr>
        <w:pStyle w:val="FirstParagraph"/>
      </w:pPr>
      <w:r>
        <w:t xml:space="preserve">Signature: ______________________ Name:</w:t>
      </w:r>
      <w:r>
        <w:t xml:space="preserve"> </w:t>
      </w:r>
      <w:r>
        <w:rPr>
          <w:rStyle w:val="VerbatimChar"/>
        </w:rPr>
        <w:t xml:space="preserve">[__]</w:t>
      </w:r>
      <w:r>
        <w:t xml:space="preserve"> </w:t>
      </w:r>
      <w:r>
        <w:t xml:space="preserve">Title:</w:t>
      </w:r>
      <w:r>
        <w:t xml:space="preserve"> </w:t>
      </w:r>
      <w:r>
        <w:rPr>
          <w:rStyle w:val="VerbatimChar"/>
        </w:rPr>
        <w:t xml:space="preserve">[__]</w:t>
      </w:r>
      <w:r>
        <w:t xml:space="preserve"> </w:t>
      </w:r>
      <w:r>
        <w:t xml:space="preserve">Date:</w:t>
      </w:r>
      <w:r>
        <w:t xml:space="preserve"> </w:t>
      </w:r>
      <w:r>
        <w:rPr>
          <w:rStyle w:val="VerbatimChar"/>
        </w:rPr>
        <w:t xml:space="preserve">[__]</w:t>
      </w:r>
    </w:p>
    <w:bookmarkEnd w:id="114"/>
    <w:sectPr>
      <w:footnotePr>
        <w:numRestart w:val="eachSect"/>
      </w:footnotePr>
      <w:pgMar w:bottom="1224" w:left="1296" w:right="1296" w:top="12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831">
    <w:nsid w:val="00A9983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8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1"/>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00" w:line="269" w:lineRule="auto"/>
    </w:pPr>
    <w:rPr>
      <w:rFonts w:ascii="Funnel Sans" w:cs="Funnel Sans" w:eastAsia="Funnel Sans" w:hAnsi="Funnel Sans"/>
      <w:color w:val="1A1A1A"/>
      <w:sz w:val="19"/>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Funnel Display" w:cs="Funnel Display" w:eastAsia="Funnel Display" w:hAnsi="Funnel Display"/>
      <w:b/>
      <w:color w:val="1A1A1A"/>
      <w:sz w:val="60"/>
      <w:szCs w:val="56"/>
    </w:rPr>
  </w:style>
  <w:style w:customStyle="1" w:styleId="TitleChar" w:type="character">
    <w:name w:val="Title Char"/>
    <w:basedOn w:val="DefaultParagraphFont"/>
    <w:link w:val="Title"/>
    <w:uiPriority w:val="10"/>
    <w:rsid w:val="00A10FD9"/>
    <w:rPr>
      <w:rFonts w:ascii="Funnel Display" w:cs="Funnel Display" w:eastAsia="Funnel Display" w:hAnsi="Funnel Display"/>
      <w:sz w:val="56"/>
      <w:szCs w:val="56"/>
    </w:rPr>
  </w:style>
  <w:style w:styleId="Subtitle" w:type="paragraph">
    <w:name w:val="Subtitle"/>
    <w:basedOn w:val="Title"/>
    <w:next w:val="BodyText"/>
    <w:link w:val="SubtitleChar"/>
    <w:uiPriority w:val="11"/>
    <w:qFormat/>
    <w:rsid w:val="00A10FD9"/>
    <w:pPr>
      <w:numPr>
        <w:ilvl w:val="1"/>
      </w:numPr>
    </w:pPr>
    <w:rPr>
      <w:rFonts w:ascii="Funnel Sans" w:cs="Funnel Sans" w:eastAsia="Funnel Sans" w:hAnsi="Funnel Sans"/>
      <w:color w:val="43B02A"/>
      <w:spacing w:val="15"/>
      <w:sz w:val="26"/>
      <w:szCs w:val="28"/>
    </w:rPr>
  </w:style>
  <w:style w:customStyle="1" w:styleId="SubtitleChar" w:type="character">
    <w:name w:val="Subtitle Char"/>
    <w:basedOn w:val="DefaultParagraphFont"/>
    <w:link w:val="Subtitle"/>
    <w:uiPriority w:val="11"/>
    <w:rsid w:val="00A10FD9"/>
    <w:rPr>
      <w:rFonts w:ascii="Funnel Sans" w:cs="Funnel Sans" w:eastAsia="Funnel Sans" w:hAnsi="Funnel Sans"/>
      <w:color w:themeColor="text1" w:themeTint="A6" w:val="595959"/>
      <w:spacing w:val="15"/>
      <w:sz w:val="28"/>
      <w:szCs w:val="28"/>
    </w:rPr>
  </w:style>
  <w:style w:customStyle="1" w:styleId="Author" w:type="paragraph">
    <w:name w:val="Author"/>
    <w:basedOn w:val="Title"/>
    <w:next w:val="BodyText"/>
    <w:qFormat/>
    <w:pPr>
      <w:keepNext/>
      <w:keepLines/>
    </w:pPr>
    <w:rPr>
      <w:rFonts w:ascii="Funnel Sans" w:cs="Funnel Sans" w:eastAsia="Funnel Sans" w:hAnsi="Funnel Sans"/>
      <w:color w:val="6B7280"/>
      <w:sz w:val="20"/>
      <w:szCs w:val="24"/>
    </w:rPr>
  </w:style>
  <w:style w:styleId="Date" w:type="paragraph">
    <w:name w:val="Date"/>
    <w:basedOn w:val="Title"/>
    <w:next w:val="BodyText"/>
    <w:qFormat/>
    <w:pPr>
      <w:keepNext/>
      <w:keepLines/>
    </w:pPr>
    <w:rPr>
      <w:rFonts w:ascii="Funnel Sans" w:cs="Funnel Sans" w:eastAsia="Funnel Sans" w:hAnsi="Funnel Sans"/>
      <w:color w:val="6B7280"/>
      <w:sz w:val="20"/>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120" w:before="320"/>
      <w:outlineLvl w:val="0"/>
      <w:pBdr>
        <w:bottom w:color="43B02A" w:space="3" w:sz="8" w:val="single"/>
      </w:pBdr>
    </w:pPr>
    <w:rPr>
      <w:rFonts w:ascii="Funnel Display" w:cs="Funnel Display" w:eastAsia="Funnel Display" w:hAnsi="Funnel Display"/>
      <w:b/>
      <w:color w:val="43B02A"/>
      <w:sz w:val="30"/>
      <w:szCs w:val="40"/>
    </w:rPr>
  </w:style>
  <w:style w:styleId="Heading2" w:type="paragraph">
    <w:name w:val="heading 2"/>
    <w:basedOn w:val="Normal"/>
    <w:next w:val="BodyText"/>
    <w:link w:val="Heading2Char"/>
    <w:uiPriority w:val="9"/>
    <w:semiHidden/>
    <w:unhideWhenUsed/>
    <w:qFormat/>
    <w:rsid w:val="00A10FD9"/>
    <w:pPr>
      <w:keepNext/>
      <w:keepLines/>
      <w:spacing w:after="80" w:before="200"/>
      <w:outlineLvl w:val="1"/>
    </w:pPr>
    <w:rPr>
      <w:rFonts w:ascii="Funnel Sans" w:cs="Funnel Sans" w:eastAsia="Funnel Sans" w:hAnsi="Funnel Sans"/>
      <w:b/>
      <w:color w:val="1A1A1A"/>
      <w:sz w:val="23"/>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ascii="Funnel Sans" w:cs="Funnel Sans" w:eastAsia="Funnel Sans" w:hAnsi="Funnel Sans"/>
      <w:b/>
      <w:color w:val="43B02A"/>
      <w:sz w:val="20"/>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Funnel Display" w:cs="Funnel Display" w:eastAsia="Funnel Display" w:hAnsi="Funnel Display"/>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Funnel Sans" w:cs="Funnel Sans" w:eastAsia="Funnel Sans" w:hAnsi="Funnel Sans"/>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ascii="Funnel Sans" w:cs="Funnel Sans" w:eastAsia="Funnel Sans" w:hAnsi="Funnel Sans"/>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230" w:right="144"/>
      <w:shd w:color="auto" w:fill="F4F7F3" w:val="clear"/>
      <w:pBdr>
        <w:left w:color="43B02A" w:space="6" w:sz="18" w:val="single"/>
      </w:pBdr>
    </w:pPr>
    <w:rPr>
      <w:rFonts w:ascii="Funnel Sans" w:cs="Funnel Sans" w:eastAsia="Funnel Sans" w:hAnsi="Funnel Sans"/>
      <w:color w:val="1A1A1A"/>
      <w:sz w:val="18"/>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rPr>
      <w:rFonts w:ascii="Funnel Sans" w:cs="Funnel Sans" w:eastAsia="Funnel Sans" w:hAnsi="Funnel Sans"/>
      <w:color w:val="1A1A1A"/>
      <w:sz w:val="17"/>
    </w:rPr>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Funnel Sans" w:hAnsi="Funnel Sans"/>
      <w:b/>
      <w:color w:val="C0392B"/>
      <w:sz w:val="19"/>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Distributor Agreement</dc:title>
  <dc:creator>Made Scientific, Inc. · Template v0.1 · Strictly Private &amp; Confidential</dc:creator>
  <cp:keywords/>
  <dcterms:created xsi:type="dcterms:W3CDTF">2026-07-15T22:36:02Z</dcterms:created>
  <dcterms:modified xsi:type="dcterms:W3CDTF">2026-07-15T22:36:02Z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10 July 2026 · Subject to Legal Review</vt:lpwstr>
  </property>
  <property fmtid="{D5CDD505-2E9C-101B-9397-08002B2CF9AE}" pid="3" name="subtitle">
    <vt:lpwstr>Regenerative Medicine &amp; Longevity Products — Research Use Only</vt:lpwstr>
  </property>
</Properties>
</file>